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EB198" w14:textId="77777777" w:rsidR="00103F54" w:rsidRPr="00561D4C" w:rsidRDefault="00103F54" w:rsidP="00103F54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</w:p>
    <w:p w14:paraId="67A7442E" w14:textId="77777777" w:rsidR="00103F54" w:rsidRPr="00561D4C" w:rsidRDefault="00103F54" w:rsidP="00103F54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  <w:r w:rsidRPr="00561D4C"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  <w:t>Anexa 2.1</w:t>
      </w:r>
    </w:p>
    <w:p w14:paraId="16EF8104" w14:textId="77777777" w:rsidR="00103F54" w:rsidRPr="00561D4C" w:rsidRDefault="00103F54" w:rsidP="00103F54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val="ro-RO" w:eastAsia="ro-RO"/>
        </w:rPr>
      </w:pPr>
    </w:p>
    <w:p w14:paraId="7D3523EE" w14:textId="77777777" w:rsidR="00103F54" w:rsidRPr="00561D4C" w:rsidRDefault="00103F54" w:rsidP="00103F54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val="ro-RO" w:eastAsia="ro-RO"/>
        </w:rPr>
      </w:pPr>
      <w:r w:rsidRPr="00561D4C"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val="ro-RO" w:eastAsia="ro-RO"/>
        </w:rPr>
        <w:t>Fișa de autoevaluare</w:t>
      </w:r>
    </w:p>
    <w:p w14:paraId="7AB06B7A" w14:textId="77777777" w:rsidR="00103F54" w:rsidRPr="00561D4C" w:rsidRDefault="00103F54" w:rsidP="00103F54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hd w:val="clear" w:color="auto" w:fill="FFFFFF"/>
          <w:lang w:val="ro-RO" w:eastAsia="ro-RO"/>
        </w:rPr>
      </w:pPr>
      <w:r w:rsidRPr="00561D4C">
        <w:rPr>
          <w:rFonts w:ascii="Palatino Linotype" w:eastAsia="Times New Roman" w:hAnsi="Palatino Linotype"/>
          <w:b/>
          <w:bCs/>
          <w:shd w:val="clear" w:color="auto" w:fill="FFFFFF"/>
          <w:lang w:val="ro-RO" w:eastAsia="ro-RO"/>
        </w:rPr>
        <w:t>a candidatului la obținerea gradației de merit acordată personalului didactic</w:t>
      </w:r>
    </w:p>
    <w:p w14:paraId="5D1817A3" w14:textId="77777777" w:rsidR="00103F54" w:rsidRPr="00561D4C" w:rsidRDefault="00103F54" w:rsidP="00103F54">
      <w:pPr>
        <w:spacing w:after="0" w:line="240" w:lineRule="auto"/>
        <w:jc w:val="both"/>
        <w:rPr>
          <w:rFonts w:ascii="Palatino Linotype" w:hAnsi="Palatino Linotype"/>
          <w:i/>
          <w:sz w:val="16"/>
          <w:szCs w:val="16"/>
          <w:lang w:val="ro-RO"/>
        </w:rPr>
      </w:pPr>
    </w:p>
    <w:p w14:paraId="004FACD9" w14:textId="3CCD0130" w:rsidR="00103F54" w:rsidRPr="00561D4C" w:rsidRDefault="00103F54" w:rsidP="00103F54">
      <w:pPr>
        <w:spacing w:line="240" w:lineRule="auto"/>
        <w:jc w:val="both"/>
        <w:rPr>
          <w:rFonts w:ascii="Palatino Linotype" w:hAnsi="Palatino Linotype"/>
          <w:i/>
          <w:sz w:val="19"/>
          <w:szCs w:val="19"/>
          <w:lang w:val="ro-RO"/>
        </w:rPr>
      </w:pPr>
      <w:r w:rsidRPr="00561D4C">
        <w:rPr>
          <w:rFonts w:ascii="Palatino Linotype" w:hAnsi="Palatino Linotype"/>
          <w:i/>
          <w:sz w:val="19"/>
          <w:szCs w:val="19"/>
          <w:lang w:val="ro-RO"/>
        </w:rPr>
        <w:t>(Fișa de autoevaluare</w:t>
      </w:r>
      <w:r w:rsidRPr="00561D4C">
        <w:rPr>
          <w:rFonts w:ascii="Palatino Linotype" w:hAnsi="Palatino Linotype"/>
          <w:sz w:val="19"/>
          <w:szCs w:val="19"/>
          <w:lang w:val="ro-RO"/>
        </w:rPr>
        <w:t xml:space="preserve"> </w:t>
      </w:r>
      <w:r w:rsidRPr="00561D4C">
        <w:rPr>
          <w:rFonts w:ascii="Palatino Linotype" w:hAnsi="Palatino Linotype"/>
          <w:i/>
          <w:sz w:val="19"/>
          <w:szCs w:val="19"/>
          <w:lang w:val="ro-RO"/>
        </w:rPr>
        <w:t>va cuprinde informații referitoare la performanțele înregistrate de către candidat în ultimii 5 ani universitari</w:t>
      </w:r>
      <w:r w:rsidRPr="00561D4C">
        <w:rPr>
          <w:rFonts w:ascii="Palatino Linotype" w:hAnsi="Palatino Linotype"/>
          <w:b/>
          <w:i/>
          <w:sz w:val="19"/>
          <w:szCs w:val="19"/>
          <w:lang w:val="ro-RO"/>
        </w:rPr>
        <w:t xml:space="preserve">, </w:t>
      </w:r>
      <w:r w:rsidRPr="00561D4C">
        <w:rPr>
          <w:rFonts w:ascii="Palatino Linotype" w:hAnsi="Palatino Linotype"/>
          <w:i/>
          <w:sz w:val="19"/>
          <w:szCs w:val="19"/>
          <w:lang w:val="ro-RO"/>
        </w:rPr>
        <w:t>urmărind structura de mai jos. Pentru fiecare criteriu, se va face referire explicită la indicatorii de performanță stabiliți prin metodologia proprie de acordare a gradațiilor de merit a facultății sau a unității instituționale. Se vor utiliza fișele de autoevaluare aprobate de către Consiliul Facultății</w:t>
      </w:r>
      <w:r w:rsidR="0037424E">
        <w:rPr>
          <w:rFonts w:ascii="Palatino Linotype" w:hAnsi="Palatino Linotype"/>
          <w:i/>
          <w:sz w:val="19"/>
          <w:szCs w:val="19"/>
          <w:lang w:val="ro-RO"/>
        </w:rPr>
        <w:t xml:space="preserve"> pentru fiecare departament</w:t>
      </w:r>
      <w:r w:rsidRPr="00561D4C">
        <w:rPr>
          <w:rFonts w:ascii="Palatino Linotype" w:hAnsi="Palatino Linotype"/>
          <w:i/>
          <w:sz w:val="19"/>
          <w:szCs w:val="19"/>
          <w:lang w:val="ro-RO"/>
        </w:rPr>
        <w:t>, anume Anexa 2.1.</w:t>
      </w:r>
      <w:r w:rsidR="0037424E">
        <w:rPr>
          <w:rFonts w:ascii="Palatino Linotype" w:hAnsi="Palatino Linotype"/>
          <w:i/>
          <w:sz w:val="19"/>
          <w:szCs w:val="19"/>
          <w:lang w:val="ro-RO"/>
        </w:rPr>
        <w:t>DAS</w:t>
      </w:r>
      <w:r w:rsidRPr="00561D4C">
        <w:rPr>
          <w:rFonts w:ascii="Palatino Linotype" w:hAnsi="Palatino Linotype"/>
          <w:i/>
          <w:sz w:val="19"/>
          <w:szCs w:val="19"/>
          <w:lang w:val="ro-RO"/>
        </w:rPr>
        <w:t xml:space="preserve"> pentru Depar</w:t>
      </w:r>
      <w:r w:rsidR="0037424E">
        <w:rPr>
          <w:rFonts w:ascii="Palatino Linotype" w:hAnsi="Palatino Linotype"/>
          <w:i/>
          <w:sz w:val="19"/>
          <w:szCs w:val="19"/>
          <w:lang w:val="ro-RO"/>
        </w:rPr>
        <w:t>tamentul de Asistență Socială, Anexa 2.1 DSASLM pentru</w:t>
      </w:r>
      <w:r w:rsidRPr="00561D4C">
        <w:rPr>
          <w:rFonts w:ascii="Palatino Linotype" w:hAnsi="Palatino Linotype"/>
          <w:i/>
          <w:sz w:val="19"/>
          <w:szCs w:val="19"/>
          <w:lang w:val="ro-RO"/>
        </w:rPr>
        <w:t xml:space="preserve"> Departamentul de Sociologie și Asistență Socială în Limba Maghiară și, respectiv, Anexa 2.1.</w:t>
      </w:r>
      <w:r w:rsidR="0037424E">
        <w:rPr>
          <w:rFonts w:ascii="Palatino Linotype" w:hAnsi="Palatino Linotype"/>
          <w:i/>
          <w:sz w:val="19"/>
          <w:szCs w:val="19"/>
          <w:lang w:val="ro-RO"/>
        </w:rPr>
        <w:t xml:space="preserve">DS </w:t>
      </w:r>
      <w:r w:rsidRPr="00561D4C">
        <w:rPr>
          <w:rFonts w:ascii="Palatino Linotype" w:hAnsi="Palatino Linotype"/>
          <w:i/>
          <w:sz w:val="19"/>
          <w:szCs w:val="19"/>
          <w:lang w:val="ro-RO"/>
        </w:rPr>
        <w:t xml:space="preserve"> în cazul Departamentului de Sociologie.</w:t>
      </w:r>
      <w:r w:rsidRPr="00561D4C">
        <w:rPr>
          <w:rFonts w:ascii="Palatino Linotype" w:hAnsi="Palatino Linotype"/>
          <w:sz w:val="19"/>
          <w:szCs w:val="19"/>
          <w:lang w:val="ro-RO"/>
        </w:rPr>
        <w:t>)</w:t>
      </w:r>
    </w:p>
    <w:p w14:paraId="150CB020" w14:textId="77777777" w:rsidR="00103F54" w:rsidRPr="00561D4C" w:rsidRDefault="00103F54" w:rsidP="00103F54">
      <w:pPr>
        <w:spacing w:line="240" w:lineRule="auto"/>
        <w:jc w:val="both"/>
        <w:rPr>
          <w:rFonts w:ascii="Palatino Linotype" w:hAnsi="Palatino Linotype"/>
          <w:b/>
          <w:sz w:val="24"/>
          <w:szCs w:val="24"/>
          <w:lang w:val="ro-RO"/>
        </w:rPr>
      </w:pPr>
      <w:r w:rsidRPr="00561D4C">
        <w:rPr>
          <w:rFonts w:ascii="Palatino Linotype" w:hAnsi="Palatino Linotype"/>
          <w:b/>
          <w:sz w:val="24"/>
          <w:szCs w:val="24"/>
          <w:lang w:val="ro-RO"/>
        </w:rPr>
        <w:t>I Descrierea succintă a poziției ocupate și a activităților specifice postului</w:t>
      </w:r>
    </w:p>
    <w:p w14:paraId="22CD8173" w14:textId="77777777" w:rsidR="00103F54" w:rsidRPr="00561D4C" w:rsidRDefault="00103F54" w:rsidP="00103F54">
      <w:pPr>
        <w:spacing w:line="240" w:lineRule="auto"/>
        <w:jc w:val="both"/>
        <w:rPr>
          <w:rFonts w:ascii="Palatino Linotype" w:hAnsi="Palatino Linotype"/>
          <w:b/>
          <w:sz w:val="24"/>
          <w:szCs w:val="24"/>
          <w:lang w:val="ro-RO"/>
        </w:rPr>
      </w:pPr>
      <w:r w:rsidRPr="00561D4C">
        <w:rPr>
          <w:rFonts w:ascii="Palatino Linotype" w:hAnsi="Palatino Linotype"/>
          <w:b/>
          <w:sz w:val="24"/>
          <w:szCs w:val="24"/>
          <w:lang w:val="ro-RO"/>
        </w:rPr>
        <w:t>II Descrierea performanțelor înregistrate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609"/>
      </w:tblGrid>
      <w:tr w:rsidR="0037424E" w14:paraId="206919FF" w14:textId="77777777" w:rsidTr="000F16C3">
        <w:tc>
          <w:tcPr>
            <w:tcW w:w="9577" w:type="dxa"/>
            <w:gridSpan w:val="2"/>
          </w:tcPr>
          <w:p w14:paraId="2C930D11" w14:textId="0EA0D68F" w:rsidR="0037424E" w:rsidRDefault="0037424E" w:rsidP="00103F54">
            <w:pPr>
              <w:jc w:val="both"/>
              <w:rPr>
                <w:rFonts w:ascii="Palatino Linotype" w:hAnsi="Palatino Linotype"/>
                <w:b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RO"/>
              </w:rPr>
              <w:t xml:space="preserve">Criteriul 1: Dimeniunea didactică </w:t>
            </w:r>
          </w:p>
        </w:tc>
      </w:tr>
      <w:tr w:rsidR="0037424E" w14:paraId="1B0D63CD" w14:textId="77777777" w:rsidTr="0037424E">
        <w:tc>
          <w:tcPr>
            <w:tcW w:w="4968" w:type="dxa"/>
          </w:tcPr>
          <w:p w14:paraId="7DCBA7B3" w14:textId="1AB3FB66" w:rsidR="0037424E" w:rsidRDefault="0037424E" w:rsidP="00103F54">
            <w:pPr>
              <w:jc w:val="both"/>
              <w:rPr>
                <w:rFonts w:ascii="Palatino Linotype" w:hAnsi="Palatino Linotype"/>
                <w:b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RO"/>
              </w:rPr>
              <w:t>Punctaj total C1</w:t>
            </w:r>
          </w:p>
        </w:tc>
        <w:tc>
          <w:tcPr>
            <w:tcW w:w="4609" w:type="dxa"/>
          </w:tcPr>
          <w:p w14:paraId="08ED84D4" w14:textId="76FD206D" w:rsidR="0037424E" w:rsidRPr="0037424E" w:rsidRDefault="0037424E" w:rsidP="0037424E">
            <w:pPr>
              <w:jc w:val="both"/>
              <w:rPr>
                <w:rFonts w:ascii="Palatino Linotype" w:hAnsi="Palatino Linotype"/>
                <w:i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ro-RO"/>
              </w:rPr>
              <w:t>Se completează punctajul final obținut pe indicatorii aferenți criteriului, așa cum apar detaliați în Anexa 2.1DAS, Anexa 2.1 DSASLM respectiv Anexa 2.1 DS</w:t>
            </w:r>
          </w:p>
        </w:tc>
      </w:tr>
      <w:tr w:rsidR="0037424E" w14:paraId="200CE645" w14:textId="77777777" w:rsidTr="00566A95">
        <w:tc>
          <w:tcPr>
            <w:tcW w:w="9577" w:type="dxa"/>
            <w:gridSpan w:val="2"/>
          </w:tcPr>
          <w:p w14:paraId="3AD1DCB5" w14:textId="331ED7C9" w:rsidR="0037424E" w:rsidRDefault="0037424E" w:rsidP="00103F54">
            <w:pPr>
              <w:jc w:val="both"/>
              <w:rPr>
                <w:rFonts w:ascii="Palatino Linotype" w:hAnsi="Palatino Linotype"/>
                <w:b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RO"/>
              </w:rPr>
              <w:t>Criteriul 2: Dimensiunea științifică</w:t>
            </w:r>
          </w:p>
        </w:tc>
      </w:tr>
      <w:tr w:rsidR="0037424E" w14:paraId="32D07CE2" w14:textId="77777777" w:rsidTr="0037424E">
        <w:tc>
          <w:tcPr>
            <w:tcW w:w="4968" w:type="dxa"/>
          </w:tcPr>
          <w:p w14:paraId="03C34966" w14:textId="5D84C9E2" w:rsidR="0037424E" w:rsidRDefault="0037424E" w:rsidP="00103F54">
            <w:pPr>
              <w:jc w:val="both"/>
              <w:rPr>
                <w:rFonts w:ascii="Palatino Linotype" w:hAnsi="Palatino Linotype"/>
                <w:b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RO"/>
              </w:rPr>
              <w:t>Punctaj total C2</w:t>
            </w:r>
          </w:p>
        </w:tc>
        <w:tc>
          <w:tcPr>
            <w:tcW w:w="4609" w:type="dxa"/>
          </w:tcPr>
          <w:p w14:paraId="75E37A1C" w14:textId="0E253AE7" w:rsidR="0037424E" w:rsidRDefault="0037424E" w:rsidP="00103F54">
            <w:pPr>
              <w:jc w:val="both"/>
              <w:rPr>
                <w:rFonts w:ascii="Palatino Linotype" w:hAnsi="Palatino Linotype"/>
                <w:b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ro-RO"/>
              </w:rPr>
              <w:t>Se completează punctajul final obținut pe indicatorii aferenți criteriului, așa cum apar detaliați în Anexa 2.1DAS, Anexa 2.1 DSASLM respectiv Anexa 2.1 DS</w:t>
            </w:r>
          </w:p>
        </w:tc>
      </w:tr>
      <w:tr w:rsidR="0037424E" w14:paraId="24FE2EFA" w14:textId="77777777" w:rsidTr="00FB3048">
        <w:tc>
          <w:tcPr>
            <w:tcW w:w="9577" w:type="dxa"/>
            <w:gridSpan w:val="2"/>
          </w:tcPr>
          <w:p w14:paraId="2A4B4761" w14:textId="00B745D7" w:rsidR="0037424E" w:rsidRDefault="0037424E" w:rsidP="00103F54">
            <w:pPr>
              <w:jc w:val="both"/>
              <w:rPr>
                <w:rFonts w:ascii="Palatino Linotype" w:hAnsi="Palatino Linotype"/>
                <w:b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RO"/>
              </w:rPr>
              <w:t>Criteril 3: Dimensiunea civică (pro UBB și societate)</w:t>
            </w:r>
          </w:p>
        </w:tc>
      </w:tr>
      <w:tr w:rsidR="0037424E" w14:paraId="10E67067" w14:textId="77777777" w:rsidTr="0037424E">
        <w:tc>
          <w:tcPr>
            <w:tcW w:w="4968" w:type="dxa"/>
          </w:tcPr>
          <w:p w14:paraId="3533846D" w14:textId="0FBD93CE" w:rsidR="0037424E" w:rsidRDefault="0037424E" w:rsidP="00103F54">
            <w:pPr>
              <w:jc w:val="both"/>
              <w:rPr>
                <w:rFonts w:ascii="Palatino Linotype" w:hAnsi="Palatino Linotype"/>
                <w:b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RO"/>
              </w:rPr>
              <w:t>Punctaj total C3</w:t>
            </w:r>
          </w:p>
        </w:tc>
        <w:tc>
          <w:tcPr>
            <w:tcW w:w="4609" w:type="dxa"/>
          </w:tcPr>
          <w:p w14:paraId="146C1175" w14:textId="61026CF8" w:rsidR="0037424E" w:rsidRDefault="0037424E" w:rsidP="00103F54">
            <w:pPr>
              <w:jc w:val="both"/>
              <w:rPr>
                <w:rFonts w:ascii="Palatino Linotype" w:hAnsi="Palatino Linotype"/>
                <w:b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ro-RO"/>
              </w:rPr>
              <w:t>Se completează punctajul final obținut pe indicatorii aferenți criteriului, așa cum apar detaliați în Anexa 2.1DAS, Anexa 2.1 DSASLM respectiv Anexa 2.1 DS</w:t>
            </w:r>
          </w:p>
        </w:tc>
      </w:tr>
    </w:tbl>
    <w:p w14:paraId="1FB36CB3" w14:textId="77777777" w:rsidR="0037424E" w:rsidRDefault="0037424E" w:rsidP="00103F54">
      <w:pPr>
        <w:spacing w:line="240" w:lineRule="auto"/>
        <w:jc w:val="both"/>
        <w:rPr>
          <w:rFonts w:ascii="Palatino Linotype" w:hAnsi="Palatino Linotype"/>
          <w:b/>
          <w:sz w:val="24"/>
          <w:szCs w:val="24"/>
          <w:lang w:val="ro-RO"/>
        </w:rPr>
      </w:pPr>
    </w:p>
    <w:p w14:paraId="4B12E8F9" w14:textId="77777777" w:rsidR="00103F54" w:rsidRPr="00561D4C" w:rsidRDefault="00103F54" w:rsidP="00103F54">
      <w:pPr>
        <w:spacing w:line="240" w:lineRule="auto"/>
        <w:jc w:val="both"/>
        <w:rPr>
          <w:rFonts w:ascii="Palatino Linotype" w:hAnsi="Palatino Linotype"/>
          <w:b/>
          <w:sz w:val="24"/>
          <w:szCs w:val="24"/>
          <w:lang w:val="ro-RO"/>
        </w:rPr>
      </w:pPr>
      <w:r w:rsidRPr="00561D4C">
        <w:rPr>
          <w:rFonts w:ascii="Palatino Linotype" w:hAnsi="Palatino Linotype"/>
          <w:b/>
          <w:sz w:val="24"/>
          <w:szCs w:val="24"/>
          <w:lang w:val="ro-RO"/>
        </w:rPr>
        <w:t>Se anexează în mod obligatoriu:</w:t>
      </w:r>
    </w:p>
    <w:p w14:paraId="2F80870D" w14:textId="7942A02E" w:rsidR="00103F54" w:rsidRPr="00561D4C" w:rsidRDefault="00103F54" w:rsidP="00103F54">
      <w:pPr>
        <w:spacing w:line="240" w:lineRule="auto"/>
        <w:jc w:val="both"/>
        <w:rPr>
          <w:rFonts w:ascii="Palatino Linotype" w:hAnsi="Palatino Linotype"/>
          <w:b/>
          <w:sz w:val="24"/>
          <w:szCs w:val="24"/>
          <w:lang w:val="ro-RO"/>
        </w:rPr>
      </w:pPr>
      <w:r w:rsidRPr="00561D4C">
        <w:rPr>
          <w:rFonts w:ascii="Palatino Linotype" w:hAnsi="Palatino Linotype"/>
          <w:b/>
          <w:sz w:val="24"/>
          <w:szCs w:val="24"/>
          <w:lang w:val="ro-RO"/>
        </w:rPr>
        <w:t>Anexa 2.1.</w:t>
      </w:r>
      <w:r w:rsidR="0037424E">
        <w:rPr>
          <w:rFonts w:ascii="Palatino Linotype" w:hAnsi="Palatino Linotype"/>
          <w:b/>
          <w:sz w:val="24"/>
          <w:szCs w:val="24"/>
          <w:lang w:val="ro-RO"/>
        </w:rPr>
        <w:t xml:space="preserve"> DAS, Anexa 2.1 DSASLM respectiv Anexa 2.1 DS după caz, </w:t>
      </w:r>
      <w:r w:rsidRPr="00561D4C">
        <w:rPr>
          <w:rFonts w:ascii="Palatino Linotype" w:hAnsi="Palatino Linotype"/>
          <w:b/>
          <w:sz w:val="24"/>
          <w:szCs w:val="24"/>
          <w:lang w:val="ro-RO"/>
        </w:rPr>
        <w:t>completată în format Excel, semnată și salvată în format PDF. Se anexează și fișierul Excel original completat.</w:t>
      </w:r>
      <w:r w:rsidR="0037424E">
        <w:rPr>
          <w:rFonts w:ascii="Palatino Linotype" w:hAnsi="Palatino Linotype"/>
          <w:b/>
          <w:sz w:val="24"/>
          <w:szCs w:val="24"/>
          <w:lang w:val="ro-RO"/>
        </w:rPr>
        <w:t xml:space="preserve"> Punctajele obținute în fișierul Excel trebuie să coincidă cu cele declarate în această anexă. </w:t>
      </w:r>
      <w:bookmarkStart w:id="1" w:name="_GoBack"/>
      <w:bookmarkEnd w:id="1"/>
      <w:r w:rsidRPr="00561D4C">
        <w:rPr>
          <w:rFonts w:ascii="Palatino Linotype" w:hAnsi="Palatino Linotype"/>
          <w:b/>
          <w:sz w:val="24"/>
          <w:szCs w:val="24"/>
          <w:lang w:val="ro-RO"/>
        </w:rPr>
        <w:t xml:space="preserve"> </w:t>
      </w:r>
    </w:p>
    <w:p w14:paraId="70C9DB75" w14:textId="77777777" w:rsidR="00103F54" w:rsidRPr="00561D4C" w:rsidRDefault="00103F54" w:rsidP="00103F54">
      <w:pPr>
        <w:pStyle w:val="Footer"/>
        <w:spacing w:line="360" w:lineRule="auto"/>
        <w:ind w:left="1004" w:firstLine="436"/>
        <w:jc w:val="both"/>
        <w:rPr>
          <w:rFonts w:ascii="Palatino Linotype" w:hAnsi="Palatino Linotype"/>
          <w:sz w:val="20"/>
          <w:szCs w:val="20"/>
          <w:lang w:val="ro-RO"/>
        </w:rPr>
      </w:pPr>
      <w:r w:rsidRPr="00561D4C">
        <w:rPr>
          <w:rFonts w:ascii="Palatino Linotype" w:hAnsi="Palatino Linotype"/>
          <w:sz w:val="20"/>
          <w:szCs w:val="20"/>
          <w:lang w:val="ro-RO"/>
        </w:rPr>
        <w:tab/>
      </w:r>
      <w:r w:rsidRPr="00561D4C">
        <w:rPr>
          <w:rFonts w:ascii="Palatino Linotype" w:hAnsi="Palatino Linotype"/>
          <w:sz w:val="20"/>
          <w:szCs w:val="20"/>
          <w:lang w:val="ro-RO"/>
        </w:rPr>
        <w:tab/>
        <w:t>Semnătura,</w:t>
      </w:r>
    </w:p>
    <w:p w14:paraId="0AF4FA43" w14:textId="37E9DA78" w:rsidR="00103F54" w:rsidRPr="00561D4C" w:rsidRDefault="00103F54" w:rsidP="00103F54">
      <w:pPr>
        <w:pStyle w:val="Footer"/>
        <w:spacing w:line="360" w:lineRule="auto"/>
        <w:jc w:val="both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  <w:r w:rsidRPr="00561D4C">
        <w:rPr>
          <w:rFonts w:ascii="Palatino Linotype" w:hAnsi="Palatino Linotype"/>
          <w:sz w:val="20"/>
          <w:szCs w:val="20"/>
          <w:lang w:val="ro-RO"/>
        </w:rPr>
        <w:tab/>
      </w:r>
      <w:r w:rsidRPr="00561D4C">
        <w:rPr>
          <w:rFonts w:ascii="Palatino Linotype" w:hAnsi="Palatino Linotype"/>
          <w:sz w:val="20"/>
          <w:szCs w:val="20"/>
          <w:lang w:val="ro-RO"/>
        </w:rPr>
        <w:tab/>
        <w:t>………………………………………….</w:t>
      </w:r>
    </w:p>
    <w:sectPr w:rsidR="00103F54" w:rsidRPr="00561D4C" w:rsidSect="002A3419">
      <w:headerReference w:type="default" r:id="rId7"/>
      <w:pgSz w:w="11907" w:h="16839" w:code="9"/>
      <w:pgMar w:top="-2126" w:right="1106" w:bottom="907" w:left="1440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45F7F" w14:textId="77777777" w:rsidR="00402E9D" w:rsidRDefault="00402E9D" w:rsidP="006A18D1">
      <w:pPr>
        <w:spacing w:after="0" w:line="240" w:lineRule="auto"/>
      </w:pPr>
      <w:r>
        <w:separator/>
      </w:r>
    </w:p>
  </w:endnote>
  <w:endnote w:type="continuationSeparator" w:id="0">
    <w:p w14:paraId="304D783A" w14:textId="77777777" w:rsidR="00402E9D" w:rsidRDefault="00402E9D" w:rsidP="006A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ource Sans Pro SemiBold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C3BAE" w14:textId="77777777" w:rsidR="00402E9D" w:rsidRDefault="00402E9D" w:rsidP="006A18D1">
      <w:pPr>
        <w:spacing w:after="0" w:line="240" w:lineRule="auto"/>
      </w:pPr>
      <w:bookmarkStart w:id="0" w:name="_Hlk493683282"/>
      <w:bookmarkEnd w:id="0"/>
      <w:r>
        <w:separator/>
      </w:r>
    </w:p>
  </w:footnote>
  <w:footnote w:type="continuationSeparator" w:id="0">
    <w:p w14:paraId="063703FC" w14:textId="77777777" w:rsidR="00402E9D" w:rsidRDefault="00402E9D" w:rsidP="006A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159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2"/>
      <w:gridCol w:w="4577"/>
    </w:tblGrid>
    <w:tr w:rsidR="007604D6" w14:paraId="4E7E78CB" w14:textId="77777777" w:rsidTr="00D16C42">
      <w:trPr>
        <w:trHeight w:val="1728"/>
      </w:trPr>
      <w:tc>
        <w:tcPr>
          <w:tcW w:w="4582" w:type="dxa"/>
        </w:tcPr>
        <w:p w14:paraId="690E38E7" w14:textId="77777777" w:rsidR="007604D6" w:rsidRDefault="007604D6" w:rsidP="007604D6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ECCFCC" wp14:editId="6BECACF5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40" name="Imagine 40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77" w:type="dxa"/>
        </w:tcPr>
        <w:p w14:paraId="61A9EC87" w14:textId="77777777" w:rsidR="007604D6" w:rsidRPr="00B96DFD" w:rsidRDefault="007604D6" w:rsidP="007604D6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4EE3E57D" w14:textId="77777777" w:rsidR="007604D6" w:rsidRPr="00B96DFD" w:rsidRDefault="007604D6" w:rsidP="007604D6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17E7BC36" w14:textId="77777777" w:rsidR="007604D6" w:rsidRPr="00B96DFD" w:rsidRDefault="007604D6" w:rsidP="007604D6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302C2841" w14:textId="77777777" w:rsidR="007604D6" w:rsidRPr="00B96DFD" w:rsidRDefault="007604D6" w:rsidP="007604D6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291107C7" w14:textId="77777777" w:rsidR="007604D6" w:rsidRPr="00B96DFD" w:rsidRDefault="007604D6" w:rsidP="007604D6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0D641FAF" w14:textId="77777777" w:rsidR="007604D6" w:rsidRPr="00B96DFD" w:rsidRDefault="007604D6" w:rsidP="007604D6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55202D80" w14:textId="77777777" w:rsidR="007604D6" w:rsidRPr="00B96DFD" w:rsidRDefault="007604D6" w:rsidP="007604D6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AA6C82F" w14:textId="77777777" w:rsidR="006A18D1" w:rsidRPr="007C4B53" w:rsidRDefault="006A18D1" w:rsidP="007100E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3005C"/>
    <w:multiLevelType w:val="multilevel"/>
    <w:tmpl w:val="E20448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0BC1117A"/>
    <w:multiLevelType w:val="hybridMultilevel"/>
    <w:tmpl w:val="337EB8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7C3C"/>
    <w:multiLevelType w:val="hybridMultilevel"/>
    <w:tmpl w:val="808884F8"/>
    <w:lvl w:ilvl="0" w:tplc="635C53D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7D2FD5"/>
    <w:multiLevelType w:val="hybridMultilevel"/>
    <w:tmpl w:val="20887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589B"/>
    <w:multiLevelType w:val="hybridMultilevel"/>
    <w:tmpl w:val="490263C8"/>
    <w:lvl w:ilvl="0" w:tplc="641E2FE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94F3B"/>
    <w:multiLevelType w:val="hybridMultilevel"/>
    <w:tmpl w:val="87AC6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2BAC"/>
    <w:multiLevelType w:val="hybridMultilevel"/>
    <w:tmpl w:val="55087736"/>
    <w:lvl w:ilvl="0" w:tplc="F21C9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E9367B"/>
    <w:multiLevelType w:val="hybridMultilevel"/>
    <w:tmpl w:val="76122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84841"/>
    <w:multiLevelType w:val="hybridMultilevel"/>
    <w:tmpl w:val="A88C84A0"/>
    <w:lvl w:ilvl="0" w:tplc="BBE4A8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93DAF"/>
    <w:multiLevelType w:val="hybridMultilevel"/>
    <w:tmpl w:val="4FB67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766EC"/>
    <w:multiLevelType w:val="hybridMultilevel"/>
    <w:tmpl w:val="2A1CF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925BA8"/>
    <w:multiLevelType w:val="hybridMultilevel"/>
    <w:tmpl w:val="0C82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46F15"/>
    <w:multiLevelType w:val="hybridMultilevel"/>
    <w:tmpl w:val="8AD6A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BC5FD4"/>
    <w:multiLevelType w:val="hybridMultilevel"/>
    <w:tmpl w:val="66F65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4601B"/>
    <w:multiLevelType w:val="hybridMultilevel"/>
    <w:tmpl w:val="E0C44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4087C"/>
    <w:multiLevelType w:val="hybridMultilevel"/>
    <w:tmpl w:val="8E2A88BA"/>
    <w:lvl w:ilvl="0" w:tplc="FE02580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0C6501"/>
    <w:multiLevelType w:val="hybridMultilevel"/>
    <w:tmpl w:val="51E4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134320"/>
    <w:multiLevelType w:val="hybridMultilevel"/>
    <w:tmpl w:val="EBF6F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606312"/>
    <w:multiLevelType w:val="hybridMultilevel"/>
    <w:tmpl w:val="F4502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64FC2C">
      <w:start w:val="1"/>
      <w:numFmt w:val="decimal"/>
      <w:lvlText w:val="%2."/>
      <w:lvlJc w:val="left"/>
      <w:pPr>
        <w:tabs>
          <w:tab w:val="num" w:pos="1716"/>
        </w:tabs>
        <w:ind w:left="1716" w:hanging="6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3"/>
  </w:num>
  <w:num w:numId="5">
    <w:abstractNumId w:val="15"/>
  </w:num>
  <w:num w:numId="6">
    <w:abstractNumId w:val="19"/>
  </w:num>
  <w:num w:numId="7">
    <w:abstractNumId w:val="10"/>
  </w:num>
  <w:num w:numId="8">
    <w:abstractNumId w:val="6"/>
  </w:num>
  <w:num w:numId="9">
    <w:abstractNumId w:val="17"/>
  </w:num>
  <w:num w:numId="10">
    <w:abstractNumId w:val="7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12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CD7"/>
    <w:rsid w:val="000173E8"/>
    <w:rsid w:val="00037F0A"/>
    <w:rsid w:val="00045FD8"/>
    <w:rsid w:val="0005070E"/>
    <w:rsid w:val="000C2CD7"/>
    <w:rsid w:val="000C7506"/>
    <w:rsid w:val="000D4D9E"/>
    <w:rsid w:val="00103F54"/>
    <w:rsid w:val="00116846"/>
    <w:rsid w:val="00126ED5"/>
    <w:rsid w:val="001545FA"/>
    <w:rsid w:val="00165450"/>
    <w:rsid w:val="00180363"/>
    <w:rsid w:val="001816FE"/>
    <w:rsid w:val="001A3374"/>
    <w:rsid w:val="001D79C1"/>
    <w:rsid w:val="001F4F48"/>
    <w:rsid w:val="00201494"/>
    <w:rsid w:val="002048B0"/>
    <w:rsid w:val="00206EC3"/>
    <w:rsid w:val="002209E0"/>
    <w:rsid w:val="00261B7E"/>
    <w:rsid w:val="00265907"/>
    <w:rsid w:val="002670FE"/>
    <w:rsid w:val="00275126"/>
    <w:rsid w:val="002A33B7"/>
    <w:rsid w:val="002A3419"/>
    <w:rsid w:val="002D6D92"/>
    <w:rsid w:val="002F4752"/>
    <w:rsid w:val="002F7FBE"/>
    <w:rsid w:val="00351E96"/>
    <w:rsid w:val="0037424E"/>
    <w:rsid w:val="00380D3C"/>
    <w:rsid w:val="003825EB"/>
    <w:rsid w:val="003A4188"/>
    <w:rsid w:val="00402E9D"/>
    <w:rsid w:val="00407EE4"/>
    <w:rsid w:val="00421F88"/>
    <w:rsid w:val="00432095"/>
    <w:rsid w:val="00434524"/>
    <w:rsid w:val="004426C1"/>
    <w:rsid w:val="004A00F3"/>
    <w:rsid w:val="004A3B06"/>
    <w:rsid w:val="004A45F3"/>
    <w:rsid w:val="004A7418"/>
    <w:rsid w:val="004C647F"/>
    <w:rsid w:val="004D4777"/>
    <w:rsid w:val="004F723B"/>
    <w:rsid w:val="00516BB9"/>
    <w:rsid w:val="00517B5A"/>
    <w:rsid w:val="00520FA9"/>
    <w:rsid w:val="00525C4B"/>
    <w:rsid w:val="0053427A"/>
    <w:rsid w:val="005444E6"/>
    <w:rsid w:val="00545117"/>
    <w:rsid w:val="00561D4C"/>
    <w:rsid w:val="00565180"/>
    <w:rsid w:val="00574AA5"/>
    <w:rsid w:val="005E6ECE"/>
    <w:rsid w:val="00602B35"/>
    <w:rsid w:val="00627322"/>
    <w:rsid w:val="006338D2"/>
    <w:rsid w:val="006340BC"/>
    <w:rsid w:val="00655E0F"/>
    <w:rsid w:val="006617A5"/>
    <w:rsid w:val="0067132C"/>
    <w:rsid w:val="00675913"/>
    <w:rsid w:val="00677B47"/>
    <w:rsid w:val="006A18D1"/>
    <w:rsid w:val="006D2033"/>
    <w:rsid w:val="006E6AD5"/>
    <w:rsid w:val="006F5049"/>
    <w:rsid w:val="007100E2"/>
    <w:rsid w:val="00735197"/>
    <w:rsid w:val="00746B9D"/>
    <w:rsid w:val="007604D6"/>
    <w:rsid w:val="00777885"/>
    <w:rsid w:val="00785E5A"/>
    <w:rsid w:val="00794EC6"/>
    <w:rsid w:val="007B1D25"/>
    <w:rsid w:val="007B40B6"/>
    <w:rsid w:val="007C4B53"/>
    <w:rsid w:val="007E1B82"/>
    <w:rsid w:val="007E50F1"/>
    <w:rsid w:val="00801790"/>
    <w:rsid w:val="00853185"/>
    <w:rsid w:val="008614D9"/>
    <w:rsid w:val="00866EEA"/>
    <w:rsid w:val="00871D90"/>
    <w:rsid w:val="00890380"/>
    <w:rsid w:val="00890F16"/>
    <w:rsid w:val="008A77B1"/>
    <w:rsid w:val="008C0DE3"/>
    <w:rsid w:val="008C407D"/>
    <w:rsid w:val="008E3CEA"/>
    <w:rsid w:val="008F52D7"/>
    <w:rsid w:val="008F6745"/>
    <w:rsid w:val="008F6D1C"/>
    <w:rsid w:val="009040C3"/>
    <w:rsid w:val="00923301"/>
    <w:rsid w:val="00937473"/>
    <w:rsid w:val="0096001D"/>
    <w:rsid w:val="009739FD"/>
    <w:rsid w:val="009B32ED"/>
    <w:rsid w:val="009B7995"/>
    <w:rsid w:val="009C05BC"/>
    <w:rsid w:val="009D1ACD"/>
    <w:rsid w:val="009D7E80"/>
    <w:rsid w:val="009E5A83"/>
    <w:rsid w:val="00A11103"/>
    <w:rsid w:val="00A15167"/>
    <w:rsid w:val="00A4100B"/>
    <w:rsid w:val="00A576C4"/>
    <w:rsid w:val="00A66D4B"/>
    <w:rsid w:val="00A679E3"/>
    <w:rsid w:val="00A87D96"/>
    <w:rsid w:val="00A91641"/>
    <w:rsid w:val="00A97799"/>
    <w:rsid w:val="00AB3AA7"/>
    <w:rsid w:val="00AB502D"/>
    <w:rsid w:val="00AC4E67"/>
    <w:rsid w:val="00AD16AA"/>
    <w:rsid w:val="00AD2A1E"/>
    <w:rsid w:val="00AE1779"/>
    <w:rsid w:val="00B1752C"/>
    <w:rsid w:val="00B341AB"/>
    <w:rsid w:val="00B411B7"/>
    <w:rsid w:val="00B45A2B"/>
    <w:rsid w:val="00BA3D35"/>
    <w:rsid w:val="00BC1FC4"/>
    <w:rsid w:val="00BD0576"/>
    <w:rsid w:val="00BD2FCF"/>
    <w:rsid w:val="00BF4879"/>
    <w:rsid w:val="00C07099"/>
    <w:rsid w:val="00C12A77"/>
    <w:rsid w:val="00C326E8"/>
    <w:rsid w:val="00C90D70"/>
    <w:rsid w:val="00C94BBF"/>
    <w:rsid w:val="00CA3216"/>
    <w:rsid w:val="00CB50DA"/>
    <w:rsid w:val="00CF302E"/>
    <w:rsid w:val="00CF4809"/>
    <w:rsid w:val="00D17319"/>
    <w:rsid w:val="00D274DF"/>
    <w:rsid w:val="00D34C21"/>
    <w:rsid w:val="00D55919"/>
    <w:rsid w:val="00D7777E"/>
    <w:rsid w:val="00D82B57"/>
    <w:rsid w:val="00D900C9"/>
    <w:rsid w:val="00DA67F0"/>
    <w:rsid w:val="00E00EAA"/>
    <w:rsid w:val="00E13766"/>
    <w:rsid w:val="00E43FB0"/>
    <w:rsid w:val="00E62440"/>
    <w:rsid w:val="00E86A26"/>
    <w:rsid w:val="00E964E8"/>
    <w:rsid w:val="00E97E66"/>
    <w:rsid w:val="00ED2F6F"/>
    <w:rsid w:val="00EE73F3"/>
    <w:rsid w:val="00F00664"/>
    <w:rsid w:val="00F03714"/>
    <w:rsid w:val="00F32488"/>
    <w:rsid w:val="00F5359F"/>
    <w:rsid w:val="00F62F8C"/>
    <w:rsid w:val="00F70A3E"/>
    <w:rsid w:val="00F946C0"/>
    <w:rsid w:val="00F976B2"/>
    <w:rsid w:val="00FA1CE3"/>
    <w:rsid w:val="00FC59E4"/>
    <w:rsid w:val="00FE4500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3CF85"/>
  <w15:docId w15:val="{2BB8EF04-E343-4C39-A1F2-6C178703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8D1"/>
  </w:style>
  <w:style w:type="paragraph" w:styleId="Footer">
    <w:name w:val="footer"/>
    <w:basedOn w:val="Normal"/>
    <w:link w:val="FooterChar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unhideWhenUsed/>
    <w:rsid w:val="008F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4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C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ax1">
    <w:name w:val="tax1"/>
    <w:rsid w:val="00655E0F"/>
    <w:rPr>
      <w:b/>
      <w:bCs/>
      <w:sz w:val="26"/>
      <w:szCs w:val="26"/>
    </w:rPr>
  </w:style>
  <w:style w:type="character" w:customStyle="1" w:styleId="star">
    <w:name w:val="star"/>
    <w:basedOn w:val="DefaultParagraphFont"/>
    <w:rsid w:val="00655E0F"/>
  </w:style>
  <w:style w:type="paragraph" w:customStyle="1" w:styleId="BodyTextIndent21">
    <w:name w:val="Body Text Indent 21"/>
    <w:basedOn w:val="Normal"/>
    <w:rsid w:val="00655E0F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SimSun" w:hAnsi="Times New Roman" w:cs="Arial"/>
      <w:kern w:val="1"/>
      <w:sz w:val="28"/>
      <w:szCs w:val="24"/>
      <w:lang w:val="ro-RO" w:eastAsia="hi-IN" w:bidi="hi-IN"/>
    </w:rPr>
  </w:style>
  <w:style w:type="paragraph" w:styleId="NormalWeb">
    <w:name w:val="Normal (Web)"/>
    <w:basedOn w:val="Normal"/>
    <w:uiPriority w:val="99"/>
    <w:unhideWhenUsed/>
    <w:rsid w:val="00D34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7B1D25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1D25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7B1D2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3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3F54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103F5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103F54"/>
    <w:rPr>
      <w:rFonts w:ascii="Times New Roman" w:eastAsia="Times New Roman" w:hAnsi="Times New Roman" w:cs="Times New Roman"/>
      <w:b/>
      <w:bCs/>
      <w:sz w:val="26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5</cp:revision>
  <cp:lastPrinted>2019-02-06T10:24:00Z</cp:lastPrinted>
  <dcterms:created xsi:type="dcterms:W3CDTF">2020-10-27T11:26:00Z</dcterms:created>
  <dcterms:modified xsi:type="dcterms:W3CDTF">2025-09-19T13:44:00Z</dcterms:modified>
</cp:coreProperties>
</file>