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AE5FC2" w:rsidR="00123B64" w:rsidP="00FB5485" w:rsidRDefault="0030321C" w14:paraId="73B2268A" w14:textId="42650999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Politici sociale</w:t>
      </w:r>
    </w:p>
    <w:p w:rsidRPr="001C2668" w:rsidR="00123B64" w:rsidP="00FB5485" w:rsidRDefault="00123B64" w14:paraId="147D6DE1" w14:textId="02087E39">
      <w:pPr>
        <w:jc w:val="center"/>
        <w:rPr>
          <w:rFonts w:ascii="Cambria" w:hAnsi="Cambria"/>
        </w:rPr>
      </w:pPr>
      <w:r w:rsidRPr="544C3BD0" w:rsidR="00123B64">
        <w:rPr>
          <w:rFonts w:ascii="Cambria" w:hAnsi="Cambria"/>
        </w:rPr>
        <w:t xml:space="preserve">Anul </w:t>
      </w:r>
      <w:r w:rsidRPr="544C3BD0" w:rsidR="00123B64">
        <w:rPr>
          <w:rFonts w:ascii="Cambria" w:hAnsi="Cambria"/>
        </w:rPr>
        <w:t>universitar</w:t>
      </w:r>
      <w:r w:rsidRPr="544C3BD0" w:rsidR="00632190">
        <w:rPr>
          <w:rFonts w:ascii="Cambria" w:hAnsi="Cambria"/>
        </w:rPr>
        <w:t xml:space="preserve"> </w:t>
      </w:r>
      <w:r w:rsidRPr="544C3BD0" w:rsidR="00AE5FC2">
        <w:rPr>
          <w:rFonts w:ascii="Cambria" w:hAnsi="Cambria"/>
        </w:rPr>
        <w:t>202</w:t>
      </w:r>
      <w:r w:rsidRPr="544C3BD0" w:rsidR="4B31A4BC">
        <w:rPr>
          <w:rFonts w:ascii="Cambria" w:hAnsi="Cambria"/>
        </w:rPr>
        <w:t>5</w:t>
      </w:r>
      <w:r w:rsidRPr="544C3BD0" w:rsidR="00AE5FC2">
        <w:rPr>
          <w:rFonts w:ascii="Cambria" w:hAnsi="Cambria"/>
        </w:rPr>
        <w:t xml:space="preserve"> - 202</w:t>
      </w:r>
      <w:r w:rsidRPr="544C3BD0" w:rsidR="4B0CB729">
        <w:rPr>
          <w:rFonts w:ascii="Cambria" w:hAnsi="Cambria"/>
        </w:rPr>
        <w:t>6</w:t>
      </w: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30321C" w14:paraId="2025CE64" w14:textId="26D196BD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10515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915"/>
        <w:gridCol w:w="360"/>
        <w:gridCol w:w="567"/>
        <w:gridCol w:w="1701"/>
        <w:gridCol w:w="567"/>
        <w:gridCol w:w="567"/>
        <w:gridCol w:w="1701"/>
        <w:gridCol w:w="1560"/>
      </w:tblGrid>
      <w:tr w:rsidRPr="00972DAD" w:rsidR="00BF2C1C" w:rsidTr="042C8E41" w14:paraId="3E2CE595" w14:textId="77777777">
        <w:trPr>
          <w:trHeight w:val="284"/>
        </w:trPr>
        <w:tc>
          <w:tcPr>
            <w:tcW w:w="2577" w:type="dxa"/>
            <w:gridSpan w:val="3"/>
            <w:tcMar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tcMar/>
            <w:vAlign w:val="center"/>
          </w:tcPr>
          <w:p w:rsidRPr="00C0333B" w:rsidR="008F5E28" w:rsidP="00C0333B" w:rsidRDefault="0030321C" w14:paraId="56BB9F54" w14:textId="6B34350F">
            <w:pPr>
              <w:pStyle w:val="Default"/>
              <w:rPr>
                <w:sz w:val="20"/>
                <w:szCs w:val="20"/>
              </w:rPr>
            </w:pPr>
            <w:r w:rsidRPr="0030321C">
              <w:rPr>
                <w:sz w:val="20"/>
                <w:szCs w:val="20"/>
              </w:rPr>
              <w:t>Politici sociale</w:t>
            </w:r>
          </w:p>
        </w:tc>
        <w:tc>
          <w:tcPr>
            <w:tcW w:w="1701" w:type="dxa"/>
            <w:tcMar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tcMar/>
            <w:vAlign w:val="center"/>
          </w:tcPr>
          <w:p w:rsidRPr="00C0333B" w:rsidR="008F5E28" w:rsidP="00C0333B" w:rsidRDefault="00C0333B" w14:paraId="7CA76DD1" w14:textId="705D0B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30321C">
              <w:rPr>
                <w:sz w:val="20"/>
                <w:szCs w:val="20"/>
              </w:rPr>
              <w:t>2505</w:t>
            </w:r>
          </w:p>
        </w:tc>
      </w:tr>
      <w:tr w:rsidRPr="00972DAD" w:rsidR="008F5E28" w:rsidTr="042C8E41" w14:paraId="7729D621" w14:textId="77777777">
        <w:trPr>
          <w:trHeight w:val="284"/>
        </w:trPr>
        <w:tc>
          <w:tcPr>
            <w:tcW w:w="3492" w:type="dxa"/>
            <w:gridSpan w:val="4"/>
            <w:tcMar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23" w:type="dxa"/>
            <w:gridSpan w:val="7"/>
            <w:tcMar/>
            <w:vAlign w:val="center"/>
          </w:tcPr>
          <w:p w:rsidRPr="00972DAD" w:rsidR="008F5E28" w:rsidP="042C8E41" w:rsidRDefault="008F5E28" w14:paraId="02F7CAC0" w14:textId="714AE81D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42C8E41" w:rsidR="1C24F01C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Cristina Raț</w:t>
            </w:r>
          </w:p>
        </w:tc>
      </w:tr>
      <w:tr w:rsidRPr="00972DAD" w:rsidR="008F5E28" w:rsidTr="042C8E41" w14:paraId="6941DE1C" w14:textId="77777777">
        <w:trPr>
          <w:trHeight w:val="284"/>
        </w:trPr>
        <w:tc>
          <w:tcPr>
            <w:tcW w:w="3492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23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972DAD" w:rsidR="008F5E28" w:rsidP="042C8E41" w:rsidRDefault="008F5E28" w14:paraId="341D75ED" w14:textId="46640FC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42C8E41" w:rsidR="038611C7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Cristina Raț</w:t>
            </w:r>
          </w:p>
        </w:tc>
      </w:tr>
      <w:tr w:rsidRPr="00CB7D36" w:rsidR="007566DE" w:rsidTr="042C8E41" w14:paraId="5663EAF6" w14:textId="77777777">
        <w:trPr>
          <w:trHeight w:val="284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3C135D" w14:paraId="642D3A83" w14:textId="53B65926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4F7055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53059" w14:paraId="1CE49F94" w14:textId="4C9DCFC9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7D36" w:rsidR="006016CF" w:rsidP="00C60F8E" w:rsidRDefault="004F7055" w14:paraId="20F79D8D" w14:textId="6C32423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653059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C0333B" w14:paraId="158B1893" w14:textId="7958BA6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C60F8E" w:rsidRDefault="00C0333B" w14:paraId="4FC38FB2" w14:textId="6B8DCE9F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3F74928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28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653059" w14:paraId="1F6F3D9F" w14:textId="1EB042E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52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7062CF4B" w14:textId="4314FAD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5D07688F" w14:textId="69A4EE5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4844841D" w14:textId="7758A50B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4B62B253" w14:textId="5DD14D22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18E004A9" w14:textId="1EC09999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653059" w14:paraId="6EABD8A3" w14:textId="2DB6F13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98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C0333B" w14:paraId="686BA008" w14:textId="29C87C9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</w:t>
            </w:r>
            <w:r w:rsidR="0065305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54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653059" w14:paraId="3C97E24A" w14:textId="6565D5F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  <w:r w:rsidR="002518F3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7461"/>
      </w:tblGrid>
      <w:tr w:rsidRPr="00972DAD" w:rsidR="00221B6D" w:rsidTr="042C8E41" w14:paraId="79590327" w14:textId="77777777">
        <w:trPr>
          <w:trHeight w:val="284"/>
        </w:trPr>
        <w:tc>
          <w:tcPr>
            <w:tcW w:w="3030" w:type="dxa"/>
            <w:tcMar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7461" w:type="dxa"/>
            <w:tcBorders>
              <w:bottom w:val="single" w:color="auto" w:sz="4" w:space="0"/>
            </w:tcBorders>
            <w:tcMar/>
            <w:vAlign w:val="center"/>
          </w:tcPr>
          <w:p w:rsidRPr="00972DAD" w:rsidR="00221B6D" w:rsidP="042C8E41" w:rsidRDefault="00221B6D" w14:paraId="1BC89717" w14:textId="5FC8B5E3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szCs w:val="20"/>
                <w:lang w:eastAsia="zh-CN"/>
              </w:rPr>
            </w:pPr>
            <w:r w:rsidRPr="042C8E41" w:rsidR="5A3A16AE">
              <w:rPr>
                <w:rFonts w:ascii="Cambria" w:hAnsi="Cambria" w:eastAsia="Times New Roman" w:cs="Times New Roman"/>
                <w:color w:val="FF0000"/>
                <w:sz w:val="20"/>
                <w:szCs w:val="20"/>
                <w:lang w:eastAsia="zh-CN"/>
              </w:rPr>
              <w:t>-</w:t>
            </w:r>
          </w:p>
        </w:tc>
      </w:tr>
      <w:tr w:rsidRPr="00972DAD" w:rsidR="00221B6D" w:rsidTr="042C8E41" w14:paraId="4F603DEB" w14:textId="77777777">
        <w:trPr>
          <w:trHeight w:val="284"/>
        </w:trPr>
        <w:tc>
          <w:tcPr>
            <w:tcW w:w="3030" w:type="dxa"/>
            <w:tcMar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7461" w:type="dxa"/>
            <w:tcMar/>
            <w:vAlign w:val="center"/>
          </w:tcPr>
          <w:p w:rsidRPr="00972DAD" w:rsidR="00221B6D" w:rsidP="042C8E41" w:rsidRDefault="00221B6D" w14:paraId="74C547CB" w14:textId="1A01F46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42C8E41" w:rsidR="5EFAE757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-</w:t>
            </w: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42C8E41" w14:paraId="23125FA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tcMar/>
            <w:vAlign w:val="center"/>
          </w:tcPr>
          <w:p w:rsidRPr="00972DAD" w:rsidR="00844EAD" w:rsidP="042C8E41" w:rsidRDefault="00844EAD" w14:paraId="2D9AB4AF" w14:textId="69503C0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</w:pPr>
            <w:r w:rsidRPr="042C8E41" w:rsidR="085C14DE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Videoproiector</w:t>
            </w:r>
          </w:p>
        </w:tc>
      </w:tr>
      <w:tr w:rsidRPr="00972DAD" w:rsidR="00844EAD" w:rsidTr="042C8E41" w14:paraId="41B3106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tcMar/>
            <w:vAlign w:val="center"/>
          </w:tcPr>
          <w:p w:rsidRPr="00972DAD" w:rsidR="00844EAD" w:rsidP="042C8E41" w:rsidRDefault="00844EAD" w14:paraId="1E6271C3" w14:textId="5BD5E336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</w:pPr>
            <w:r w:rsidRPr="042C8E41" w:rsidR="683D48BF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Sală</w:t>
            </w:r>
            <w:r w:rsidRPr="042C8E41" w:rsidR="683D48BF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 xml:space="preserve"> </w:t>
            </w:r>
            <w:r w:rsidRPr="042C8E41" w:rsidR="683D48BF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adecvată</w:t>
            </w:r>
            <w:r w:rsidRPr="042C8E41" w:rsidR="683D48BF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 xml:space="preserve"> </w:t>
            </w:r>
            <w:r w:rsidRPr="042C8E41" w:rsidR="683D48BF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pentru</w:t>
            </w:r>
            <w:r w:rsidRPr="042C8E41" w:rsidR="683D48BF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 xml:space="preserve"> </w:t>
            </w:r>
            <w:r w:rsidRPr="042C8E41" w:rsidR="683D48BF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activități</w:t>
            </w:r>
            <w:r w:rsidRPr="042C8E41" w:rsidR="683D48BF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 xml:space="preserve"> în grupuri mici</w:t>
            </w:r>
          </w:p>
        </w:tc>
      </w:tr>
    </w:tbl>
    <w:p w:rsidR="00C0333B" w:rsidP="544C3BD0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 w:val="1"/>
          <w:bCs w:val="1"/>
          <w:sz w:val="20"/>
          <w:szCs w:val="20"/>
          <w:lang w:eastAsia="zh-CN"/>
        </w:rPr>
      </w:pPr>
    </w:p>
    <w:p w:rsidR="544C3BD0" w:rsidP="544C3BD0" w:rsidRDefault="544C3BD0" w14:paraId="4599EF3E" w14:textId="6CEDDFF3">
      <w:pPr>
        <w:spacing w:after="0" w:line="240" w:lineRule="auto"/>
        <w:ind w:hanging="426"/>
        <w:rPr>
          <w:rFonts w:ascii="Cambria" w:hAnsi="Cambria" w:eastAsia="Times New Roman" w:cs="Times New Roman"/>
          <w:b w:val="1"/>
          <w:bCs w:val="1"/>
          <w:sz w:val="20"/>
          <w:szCs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8706"/>
      </w:tblGrid>
      <w:tr w:rsidRPr="0039068A" w:rsidR="00551CC4" w:rsidTr="544C3BD0" w14:paraId="691B4F18" w14:textId="77777777">
        <w:trPr>
          <w:cantSplit/>
          <w:trHeight w:val="2884"/>
        </w:trPr>
        <w:tc>
          <w:tcPr>
            <w:tcW w:w="1785" w:type="dxa"/>
            <w:tcMar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8706" w:type="dxa"/>
            <w:tcMar/>
            <w:vAlign w:val="center"/>
          </w:tcPr>
          <w:p w:rsidR="00796905" w:rsidP="042C8E41" w:rsidRDefault="00796905" w14:paraId="4125441A" w14:textId="053EA70B">
            <w:pPr>
              <w:pStyle w:val="Default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- Proiectarea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>şi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 realizarea de cercetări sociologice (culegere, prelucrare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>şi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 analiză de date sociale) în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>organizaţii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>şi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>comunităţi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, cercetări culturale, studii de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>piaţă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 etc</w:t>
            </w:r>
            <w:r w:rsidRPr="544C3BD0" w:rsidR="588FD49C">
              <w:rPr>
                <w:rFonts w:ascii="Cambria" w:hAnsi="Cambria" w:eastAsia="Cambria" w:cs="Cambria"/>
                <w:sz w:val="20"/>
                <w:szCs w:val="20"/>
              </w:rPr>
              <w:t xml:space="preserve">. </w:t>
            </w:r>
          </w:p>
          <w:p w:rsidR="00796905" w:rsidP="042C8E41" w:rsidRDefault="00796905" w14:paraId="5395B6D4" w14:textId="3A13BDAA">
            <w:pPr>
              <w:pStyle w:val="Default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- Gestionarea sistemelor de date sociale </w:t>
            </w:r>
          </w:p>
          <w:p w:rsidR="00796905" w:rsidP="042C8E41" w:rsidRDefault="00796905" w14:paraId="0A3A00D3" w14:textId="7AAFC380">
            <w:pPr>
              <w:pStyle w:val="Default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- Diagnoza problemelor sociale/ sociologice și analiza și aplicarea de politici publice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>şi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 sociale</w:t>
            </w:r>
          </w:p>
          <w:p w:rsidR="00796905" w:rsidP="042C8E41" w:rsidRDefault="00796905" w14:paraId="6591684D" w14:textId="3808EEF8">
            <w:pPr>
              <w:pStyle w:val="Default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-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Utilizarea adecvată a perspectivei sociologice aplicate </w:t>
            </w:r>
          </w:p>
          <w:p w:rsidRPr="00A74D64" w:rsidR="00551CC4" w:rsidP="042C8E41" w:rsidRDefault="00551CC4" w14:paraId="59C4AC85" w14:textId="33961A3A">
            <w:pPr>
              <w:pStyle w:val="Default"/>
              <w:spacing w:after="0" w:line="240" w:lineRule="auto"/>
              <w:ind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- Identificarea, analiza (explicarea)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>şi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>soluţionarea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 de probleme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>şi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 conflicte sociale în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>organizaţii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>şi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  <w:r w:rsidRPr="544C3BD0" w:rsidR="6ACB65EE">
              <w:rPr>
                <w:rFonts w:ascii="Cambria" w:hAnsi="Cambria" w:eastAsia="Cambria" w:cs="Cambria"/>
                <w:sz w:val="20"/>
                <w:szCs w:val="20"/>
              </w:rPr>
              <w:t>comunităţi</w:t>
            </w:r>
          </w:p>
        </w:tc>
      </w:tr>
      <w:tr w:rsidRPr="0039068A" w:rsidR="00551CC4" w:rsidTr="544C3BD0" w14:paraId="1F728DFD" w14:textId="77777777">
        <w:trPr>
          <w:cantSplit/>
          <w:trHeight w:val="1775"/>
        </w:trPr>
        <w:tc>
          <w:tcPr>
            <w:tcW w:w="1785" w:type="dxa"/>
            <w:tcMar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8706" w:type="dxa"/>
            <w:tcMar/>
            <w:vAlign w:val="center"/>
          </w:tcPr>
          <w:p w:rsidR="00C0333B" w:rsidP="042C8E41" w:rsidRDefault="00796905" w14:paraId="1160272E" w14:textId="1EE89108">
            <w:pPr>
              <w:pStyle w:val="Default"/>
              <w:rPr>
                <w:rFonts w:ascii="Cambria" w:hAnsi="Cambria" w:eastAsia="Cambria" w:cs="Cambria"/>
                <w:sz w:val="20"/>
                <w:szCs w:val="20"/>
              </w:rPr>
            </w:pPr>
            <w:r w:rsidRPr="042C8E41" w:rsidR="6ACB65EE">
              <w:rPr>
                <w:rFonts w:ascii="Cambria" w:hAnsi="Cambria" w:eastAsia="Cambria" w:cs="Cambria"/>
                <w:sz w:val="20"/>
                <w:szCs w:val="20"/>
              </w:rPr>
              <w:t xml:space="preserve">- </w:t>
            </w:r>
            <w:r w:rsidRPr="042C8E41" w:rsidR="00C0333B">
              <w:rPr>
                <w:rFonts w:ascii="Cambria" w:hAnsi="Cambria" w:eastAsia="Cambria" w:cs="Cambria"/>
                <w:sz w:val="20"/>
                <w:szCs w:val="20"/>
              </w:rPr>
              <w:t xml:space="preserve">Aplicarea strategiilor de muncă riguroasă, eficientă, de punctualitate </w:t>
            </w:r>
            <w:r w:rsidRPr="042C8E41" w:rsidR="00C0333B">
              <w:rPr>
                <w:rFonts w:ascii="Cambria" w:hAnsi="Cambria" w:eastAsia="Cambria" w:cs="Cambria"/>
                <w:sz w:val="20"/>
                <w:szCs w:val="20"/>
              </w:rPr>
              <w:t>şi</w:t>
            </w:r>
            <w:r w:rsidRPr="042C8E41" w:rsidR="00C0333B">
              <w:rPr>
                <w:rFonts w:ascii="Cambria" w:hAnsi="Cambria" w:eastAsia="Cambria" w:cs="Cambria"/>
                <w:sz w:val="20"/>
                <w:szCs w:val="20"/>
              </w:rPr>
              <w:t xml:space="preserve"> răspundere personală </w:t>
            </w:r>
            <w:r w:rsidRPr="042C8E41" w:rsidR="00C0333B">
              <w:rPr>
                <w:rFonts w:ascii="Cambria" w:hAnsi="Cambria" w:eastAsia="Cambria" w:cs="Cambria"/>
                <w:sz w:val="20"/>
                <w:szCs w:val="20"/>
              </w:rPr>
              <w:t>faţă</w:t>
            </w:r>
            <w:r w:rsidRPr="042C8E41" w:rsidR="00C0333B">
              <w:rPr>
                <w:rFonts w:ascii="Cambria" w:hAnsi="Cambria" w:eastAsia="Cambria" w:cs="Cambria"/>
                <w:sz w:val="20"/>
                <w:szCs w:val="20"/>
              </w:rPr>
              <w:t xml:space="preserve"> de rezultat, pe baza principiilor, normelor </w:t>
            </w:r>
            <w:r w:rsidRPr="042C8E41" w:rsidR="00C0333B">
              <w:rPr>
                <w:rFonts w:ascii="Cambria" w:hAnsi="Cambria" w:eastAsia="Cambria" w:cs="Cambria"/>
                <w:sz w:val="20"/>
                <w:szCs w:val="20"/>
              </w:rPr>
              <w:t>şi</w:t>
            </w:r>
            <w:r w:rsidRPr="042C8E41" w:rsidR="00C0333B">
              <w:rPr>
                <w:rFonts w:ascii="Cambria" w:hAnsi="Cambria" w:eastAsia="Cambria" w:cs="Cambria"/>
                <w:sz w:val="20"/>
                <w:szCs w:val="20"/>
              </w:rPr>
              <w:t xml:space="preserve"> a valorilor codului de etică profesională. </w:t>
            </w:r>
          </w:p>
          <w:p w:rsidR="00C0333B" w:rsidP="042C8E41" w:rsidRDefault="00C0333B" w14:paraId="13B59DFE" w14:textId="26C95945">
            <w:pPr>
              <w:pStyle w:val="Default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617A6166">
              <w:rPr>
                <w:rFonts w:ascii="Cambria" w:hAnsi="Cambria" w:eastAsia="Cambria" w:cs="Cambria"/>
                <w:sz w:val="20"/>
                <w:szCs w:val="20"/>
              </w:rPr>
              <w:t xml:space="preserve">- Aplicarea tehnicilor de </w:t>
            </w:r>
            <w:r w:rsidRPr="544C3BD0" w:rsidR="617A6166">
              <w:rPr>
                <w:rFonts w:ascii="Cambria" w:hAnsi="Cambria" w:eastAsia="Cambria" w:cs="Cambria"/>
                <w:sz w:val="20"/>
                <w:szCs w:val="20"/>
              </w:rPr>
              <w:t>relaţionare</w:t>
            </w:r>
            <w:r w:rsidRPr="544C3BD0" w:rsidR="617A6166">
              <w:rPr>
                <w:rFonts w:ascii="Cambria" w:hAnsi="Cambria" w:eastAsia="Cambria" w:cs="Cambria"/>
                <w:sz w:val="20"/>
                <w:szCs w:val="20"/>
              </w:rPr>
              <w:t xml:space="preserve"> în grup a </w:t>
            </w:r>
            <w:r w:rsidRPr="544C3BD0" w:rsidR="617A6166">
              <w:rPr>
                <w:rFonts w:ascii="Cambria" w:hAnsi="Cambria" w:eastAsia="Cambria" w:cs="Cambria"/>
                <w:sz w:val="20"/>
                <w:szCs w:val="20"/>
              </w:rPr>
              <w:t>capacităţilor</w:t>
            </w:r>
            <w:r w:rsidRPr="544C3BD0" w:rsidR="617A6166">
              <w:rPr>
                <w:rFonts w:ascii="Cambria" w:hAnsi="Cambria" w:eastAsia="Cambria" w:cs="Cambria"/>
                <w:sz w:val="20"/>
                <w:szCs w:val="20"/>
              </w:rPr>
              <w:t xml:space="preserve"> empatice de comunicare interpersonală </w:t>
            </w:r>
            <w:r w:rsidRPr="544C3BD0" w:rsidR="617A6166">
              <w:rPr>
                <w:rFonts w:ascii="Cambria" w:hAnsi="Cambria" w:eastAsia="Cambria" w:cs="Cambria"/>
                <w:sz w:val="20"/>
                <w:szCs w:val="20"/>
              </w:rPr>
              <w:t>şi</w:t>
            </w:r>
            <w:r w:rsidRPr="544C3BD0" w:rsidR="617A6166">
              <w:rPr>
                <w:rFonts w:ascii="Cambria" w:hAnsi="Cambria" w:eastAsia="Cambria" w:cs="Cambria"/>
                <w:sz w:val="20"/>
                <w:szCs w:val="20"/>
              </w:rPr>
              <w:t xml:space="preserve"> de asumare de roluri specifice în cadrul muncii în echipă.</w:t>
            </w:r>
          </w:p>
          <w:p w:rsidR="00C0333B" w:rsidP="042C8E41" w:rsidRDefault="00C0333B" w14:paraId="38442575" w14:textId="58C13BBF">
            <w:pPr>
              <w:pStyle w:val="Default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617A6166">
              <w:rPr>
                <w:rFonts w:ascii="Cambria" w:hAnsi="Cambria" w:eastAsia="Cambria" w:cs="Cambria"/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Pr="00A74D64" w:rsidR="00551CC4" w:rsidP="544C3BD0" w:rsidRDefault="00551CC4" w14:paraId="038EFC52" w14:textId="0F9D9823">
            <w:pPr>
              <w:pStyle w:val="Default"/>
              <w:spacing w:after="0" w:line="240" w:lineRule="auto"/>
              <w:ind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617A6166">
              <w:rPr>
                <w:rFonts w:ascii="Cambria" w:hAnsi="Cambria" w:eastAsia="Cambria" w:cs="Cambria"/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</w:tc>
      </w:tr>
    </w:tbl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42C8E41" w14:paraId="70D4DA02" w14:textId="77777777">
        <w:trPr>
          <w:cantSplit/>
          <w:trHeight w:val="1003"/>
        </w:trPr>
        <w:tc>
          <w:tcPr>
            <w:tcW w:w="2830" w:type="dxa"/>
            <w:tcMar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tcMar/>
            <w:vAlign w:val="center"/>
          </w:tcPr>
          <w:p w:rsidR="042C8E41" w:rsidP="042C8E41" w:rsidRDefault="042C8E41" w14:paraId="65A2A7F0" w14:textId="1FD4D8F0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042C8E41" w:rsidR="042C8E4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Cursul își propune familiarizarea studenților cu principalele conceptualizări din domeniul studiului statului bunăstării și al politicilor sociale.</w:t>
            </w:r>
          </w:p>
        </w:tc>
      </w:tr>
      <w:tr w:rsidRPr="000B7D0D" w:rsidR="0083358D" w:rsidTr="042C8E41" w14:paraId="36D1494C" w14:textId="77777777">
        <w:trPr>
          <w:cantSplit/>
          <w:trHeight w:val="832"/>
        </w:trPr>
        <w:tc>
          <w:tcPr>
            <w:tcW w:w="2830" w:type="dxa"/>
            <w:tcMar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tcMar/>
            <w:vAlign w:val="center"/>
          </w:tcPr>
          <w:p w:rsidR="042C8E41" w:rsidP="042C8E41" w:rsidRDefault="042C8E41" w14:paraId="2E4F7236" w14:textId="358C9B6D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042C8E41" w:rsidR="042C8E4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Prima parte prezintă formarea și evoluția politicilor sociale dintr-o perspectivă istorică, cu focalizare pe țările europene. A doua parte discută originile și transformările politicilor sociale din România. A treia parte prezintă și analizează politicile sociale din România contemporană, separat pentru fiecare dintre domeniile principale ale acestora: sistemul de pensii, politici privind munca și șomajul, combaterea sărăciei și a marginalizării sociale, susținerea familiilor cu copii, protecția socială a persoanelor cu dizabilități, sistemul serviciilor de sănătate.</w:t>
            </w: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996E5F" w:rsidP="544C3BD0" w:rsidRDefault="002A3A93" w14:paraId="550C8D78" w14:textId="369F3C44">
      <w:pPr>
        <w:spacing w:after="0"/>
        <w:ind w:hanging="426"/>
        <w:rPr>
          <w:rFonts w:ascii="Cambria" w:hAnsi="Cambria"/>
          <w:b w:val="0"/>
          <w:bCs w:val="0"/>
          <w:sz w:val="20"/>
          <w:szCs w:val="20"/>
        </w:rPr>
      </w:pPr>
      <w:r w:rsidRPr="544C3BD0" w:rsidR="002A3A93">
        <w:rPr>
          <w:rFonts w:ascii="Cambria" w:hAnsi="Cambria"/>
          <w:b w:val="1"/>
          <w:bCs w:val="1"/>
          <w:sz w:val="20"/>
          <w:szCs w:val="20"/>
        </w:rPr>
        <w:t>8</w:t>
      </w:r>
      <w:r w:rsidRPr="544C3BD0" w:rsidR="0084063D">
        <w:rPr>
          <w:rFonts w:ascii="Cambria" w:hAnsi="Cambria"/>
          <w:b w:val="1"/>
          <w:bCs w:val="1"/>
          <w:sz w:val="20"/>
          <w:szCs w:val="20"/>
        </w:rPr>
        <w:t xml:space="preserve">. </w:t>
      </w:r>
      <w:r w:rsidRPr="544C3BD0" w:rsidR="0084063D">
        <w:rPr>
          <w:rFonts w:ascii="Cambria" w:hAnsi="Cambria"/>
          <w:b w:val="1"/>
          <w:bCs w:val="1"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440"/>
        <w:gridCol w:w="1656"/>
      </w:tblGrid>
      <w:tr w:rsidRPr="002A3A93" w:rsidR="008C28C6" w:rsidTr="544C3BD0" w14:paraId="5486D853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544C3BD0" w:rsidRDefault="002A3A93" w14:paraId="7B7DE2C8" w14:textId="77777777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544C3BD0" w:rsidR="002A3A93">
              <w:rPr>
                <w:rFonts w:ascii="Cambria" w:hAnsi="Cambria" w:eastAsia="Cambria" w:cs="Cambria"/>
                <w:b w:val="0"/>
                <w:bCs w:val="0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4440" w:type="dxa"/>
            <w:tcMar/>
            <w:vAlign w:val="center"/>
          </w:tcPr>
          <w:p w:rsidRPr="002A3A93" w:rsidR="002A3A93" w:rsidP="544C3BD0" w:rsidRDefault="002A3A93" w14:paraId="27721A81" w14:textId="77777777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544C3BD0" w:rsidR="002A3A93">
              <w:rPr>
                <w:rFonts w:ascii="Cambria" w:hAnsi="Cambria" w:eastAsia="Cambria" w:cs="Cambria"/>
                <w:b w:val="0"/>
                <w:bCs w:val="0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1656" w:type="dxa"/>
            <w:tcMar/>
            <w:vAlign w:val="center"/>
          </w:tcPr>
          <w:p w:rsidRPr="002A3A93" w:rsidR="002A3A93" w:rsidP="544C3BD0" w:rsidRDefault="002A3A93" w14:paraId="5F6F867A" w14:textId="77777777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544C3BD0" w:rsidR="002A3A93">
              <w:rPr>
                <w:rFonts w:ascii="Cambria" w:hAnsi="Cambria" w:eastAsia="Cambria" w:cs="Cambria"/>
                <w:b w:val="0"/>
                <w:bCs w:val="0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544C3BD0" w14:paraId="2440726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544C3BD0" w:rsidRDefault="00796905" w14:paraId="5425D878" w14:textId="574E74C9">
            <w:pPr>
              <w:pStyle w:val="Normal"/>
              <w:spacing w:after="0" w:line="240" w:lineRule="auto"/>
              <w:ind w:left="0"/>
              <w:jc w:val="left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  <w:r w:rsidRPr="544C3BD0" w:rsidR="49668889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>1.</w:t>
            </w:r>
            <w:r w:rsidRPr="544C3BD0" w:rsidR="72483420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>Introducere</w:t>
            </w:r>
            <w:r w:rsidRPr="544C3BD0" w:rsidR="75B7C22C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. </w:t>
            </w:r>
            <w:r w:rsidRPr="544C3BD0" w:rsidR="75B7C22C">
              <w:rPr>
                <w:rFonts w:ascii="Cambria" w:hAnsi="Cambria" w:eastAsia="Cambria" w:cs="Cambria"/>
                <w:sz w:val="20"/>
                <w:szCs w:val="20"/>
              </w:rPr>
              <w:t>Cetățenie socială și statul social în perspectivă istorică</w:t>
            </w:r>
          </w:p>
        </w:tc>
        <w:tc>
          <w:tcPr>
            <w:tcW w:w="4440" w:type="dxa"/>
            <w:tcMar/>
            <w:vAlign w:val="center"/>
          </w:tcPr>
          <w:p w:rsidRPr="002A3A93" w:rsidR="002A3A93" w:rsidP="544C3BD0" w:rsidRDefault="002A3A93" w14:paraId="4AEE5826" w14:textId="37AB26F9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  <w:r w:rsidRPr="544C3BD0" w:rsidR="3BDD5529">
              <w:rPr>
                <w:rFonts w:ascii="Cambria" w:hAnsi="Cambria" w:eastAsia="Cambria" w:cs="Cambria"/>
                <w:sz w:val="20"/>
                <w:szCs w:val="20"/>
              </w:rPr>
              <w:t>Prezentare, sesiune de întrebări &amp; răspunsuri</w:t>
            </w:r>
          </w:p>
        </w:tc>
        <w:tc>
          <w:tcPr>
            <w:tcW w:w="1656" w:type="dxa"/>
            <w:vMerge w:val="restart"/>
            <w:tcBorders>
              <w:bottom w:val="single" w:color="auto" w:sz="4"/>
            </w:tcBorders>
            <w:tcMar/>
            <w:vAlign w:val="center"/>
          </w:tcPr>
          <w:p w:rsidRPr="002A3A93" w:rsidR="002A3A93" w:rsidP="544C3BD0" w:rsidRDefault="002A3A93" w14:paraId="34B87A81" w14:textId="3FBD53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3BDD5529">
              <w:rPr>
                <w:rFonts w:ascii="Cambria" w:hAnsi="Cambria" w:eastAsia="Cambria" w:cs="Cambria"/>
                <w:sz w:val="20"/>
                <w:szCs w:val="20"/>
              </w:rPr>
              <w:t xml:space="preserve">Sunt posibile mici modificări tematice </w:t>
            </w:r>
            <w:r w:rsidRPr="544C3BD0" w:rsidR="508A9811">
              <w:rPr>
                <w:rFonts w:ascii="Cambria" w:hAnsi="Cambria" w:eastAsia="Cambria" w:cs="Cambria"/>
                <w:sz w:val="20"/>
                <w:szCs w:val="20"/>
              </w:rPr>
              <w:t xml:space="preserve">și de bibliografie </w:t>
            </w:r>
            <w:r w:rsidRPr="544C3BD0" w:rsidR="3BDD5529">
              <w:rPr>
                <w:rFonts w:ascii="Cambria" w:hAnsi="Cambria" w:eastAsia="Cambria" w:cs="Cambria"/>
                <w:sz w:val="20"/>
                <w:szCs w:val="20"/>
              </w:rPr>
              <w:t xml:space="preserve">pe parcurs. </w:t>
            </w:r>
          </w:p>
        </w:tc>
      </w:tr>
      <w:tr w:rsidRPr="002A3A93" w:rsidR="008C28C6" w:rsidTr="544C3BD0" w14:paraId="047DE1F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544C3BD0" w:rsidRDefault="00796905" w14:paraId="75A36083" w14:textId="004842E5">
            <w:pPr>
              <w:pStyle w:val="Normal"/>
              <w:spacing w:after="0" w:line="240" w:lineRule="auto"/>
              <w:rPr>
                <w:rFonts w:ascii="Cambria" w:hAnsi="Cambria" w:eastAsia="Cambria" w:cs="Cambria"/>
                <w:kern w:val="0"/>
                <w:sz w:val="24"/>
                <w:szCs w:val="24"/>
                <w14:ligatures w14:val="none"/>
              </w:rPr>
            </w:pPr>
            <w:r w:rsidRPr="544C3BD0" w:rsidR="544C3BD0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2. </w:t>
            </w:r>
            <w:r w:rsidRPr="544C3BD0" w:rsidR="03AD53A7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Dezvoltarea istorică a modelelor de stat al bunăstării</w:t>
            </w:r>
          </w:p>
        </w:tc>
        <w:tc>
          <w:tcPr>
            <w:tcW w:w="4440" w:type="dxa"/>
            <w:tcMar/>
            <w:vAlign w:val="center"/>
          </w:tcPr>
          <w:p w:rsidRPr="002A3A93" w:rsidR="002A3A93" w:rsidP="544C3BD0" w:rsidRDefault="002A3A93" w14:paraId="73049E32" w14:textId="37AB26F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6514FA49">
              <w:rPr>
                <w:rFonts w:ascii="Cambria" w:hAnsi="Cambria" w:eastAsia="Cambria" w:cs="Cambria"/>
                <w:sz w:val="20"/>
                <w:szCs w:val="20"/>
              </w:rPr>
              <w:t>Prezentare, sesiune de întrebări &amp; răspunsuri</w:t>
            </w:r>
          </w:p>
          <w:p w:rsidRPr="002A3A93" w:rsidR="002A3A93" w:rsidP="544C3BD0" w:rsidRDefault="002A3A93" w14:paraId="17BA7C53" w14:textId="2DF5702E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vMerge/>
            <w:tcMar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544C3BD0" w14:paraId="30D75F9C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544C3BD0" w:rsidRDefault="00796905" w14:paraId="6C53518B" w14:textId="235CDC59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  <w:r w:rsidRPr="544C3BD0" w:rsidR="1DE5A88E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3.</w:t>
            </w:r>
            <w:r w:rsidRPr="544C3BD0" w:rsidR="6ACB65EE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544C3BD0" w:rsidR="0B9096DE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 Criza statului social și politici sociale în Uniunea Europeană</w:t>
            </w:r>
          </w:p>
        </w:tc>
        <w:tc>
          <w:tcPr>
            <w:tcW w:w="4440" w:type="dxa"/>
            <w:tcMar/>
            <w:vAlign w:val="center"/>
          </w:tcPr>
          <w:p w:rsidRPr="002A3A93" w:rsidR="002A3A93" w:rsidP="544C3BD0" w:rsidRDefault="002A3A93" w14:paraId="7924E040" w14:textId="37AB26F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5D5C0058">
              <w:rPr>
                <w:rFonts w:ascii="Cambria" w:hAnsi="Cambria" w:eastAsia="Cambria" w:cs="Cambria"/>
                <w:sz w:val="20"/>
                <w:szCs w:val="20"/>
              </w:rPr>
              <w:t>Prezentare, sesiune de întrebări &amp; răspunsuri</w:t>
            </w:r>
          </w:p>
          <w:p w:rsidRPr="002A3A93" w:rsidR="002A3A93" w:rsidP="544C3BD0" w:rsidRDefault="002A3A93" w14:paraId="536C28E5" w14:textId="5AE71302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vMerge/>
            <w:tcMar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544C3BD0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544C3BD0" w:rsidRDefault="00796905" w14:paraId="0CE6DDB6" w14:textId="420D31C2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  <w:r w:rsidRPr="544C3BD0" w:rsidR="50BDCEDF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4.</w:t>
            </w:r>
            <w:r w:rsidRPr="544C3BD0" w:rsidR="6ACB65EE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544C3BD0" w:rsidR="3A986DC1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 Dezvoltarea istorică a politicilor sociale în România: forme inițiale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C02345" w:rsidR="003F659E" w:rsidP="544C3BD0" w:rsidRDefault="003F659E" w14:paraId="09E63D12" w14:textId="37AB26F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5147A3AA">
              <w:rPr>
                <w:rFonts w:ascii="Cambria" w:hAnsi="Cambria" w:eastAsia="Cambria" w:cs="Cambria"/>
                <w:sz w:val="20"/>
                <w:szCs w:val="20"/>
              </w:rPr>
              <w:t>Prezentare, sesiune de întrebări &amp; răspunsuri</w:t>
            </w:r>
          </w:p>
          <w:p w:rsidRPr="00C02345" w:rsidR="003F659E" w:rsidP="544C3BD0" w:rsidRDefault="003F659E" w14:paraId="0FD44D03" w14:textId="0102566F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vMerge/>
            <w:tcBorders/>
            <w:tcMar/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544C3BD0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544C3BD0" w:rsidRDefault="00796905" w14:paraId="4710D4C1" w14:textId="6ADB4D35">
            <w:pPr>
              <w:spacing w:after="0" w:line="240" w:lineRule="auto"/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ro"/>
                <w14:ligatures w14:val="none"/>
              </w:rPr>
            </w:pPr>
            <w:r w:rsidRPr="544C3BD0" w:rsidR="7E8A2D55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5.</w:t>
            </w:r>
            <w:r w:rsidRPr="544C3BD0" w:rsidR="6ACB65EE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544C3BD0" w:rsidR="558611A7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544C3BD0" w:rsidR="1A735AB2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 xml:space="preserve">Statul social în perioada </w:t>
            </w:r>
            <w:r w:rsidRPr="544C3BD0" w:rsidR="32176F7A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socialismului de stat</w:t>
            </w:r>
            <w:r w:rsidRPr="544C3BD0" w:rsidR="1A735AB2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  <w:r w:rsidRPr="544C3BD0" w:rsidR="34283A79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în</w:t>
            </w:r>
            <w:r w:rsidRPr="544C3BD0" w:rsidR="1A735AB2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 xml:space="preserve"> România</w:t>
            </w:r>
            <w:r w:rsidRPr="544C3BD0" w:rsidR="445D3D0A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,</w:t>
            </w:r>
            <w:r w:rsidRPr="544C3BD0" w:rsidR="1A735AB2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 xml:space="preserve"> 1947-1989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C02345" w:rsidR="003F659E" w:rsidP="544C3BD0" w:rsidRDefault="003F659E" w14:paraId="4E1E332B" w14:textId="37AB26F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7A25456D">
              <w:rPr>
                <w:rFonts w:ascii="Cambria" w:hAnsi="Cambria" w:eastAsia="Cambria" w:cs="Cambria"/>
                <w:sz w:val="20"/>
                <w:szCs w:val="20"/>
              </w:rPr>
              <w:t>Prezentare, sesiune de întrebări &amp; răspunsuri</w:t>
            </w:r>
          </w:p>
          <w:p w:rsidRPr="00C02345" w:rsidR="003F659E" w:rsidP="544C3BD0" w:rsidRDefault="003F659E" w14:paraId="6BBEC515" w14:textId="5A01BC31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vMerge/>
            <w:tcBorders>
              <w:bottom w:val="single" w:color="auto" w:sz="4" w:space="0"/>
            </w:tcBorders>
            <w:tcMar/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544C3BD0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544C3BD0" w:rsidRDefault="00796905" w14:paraId="413BBB10" w14:textId="134507FE">
            <w:pPr>
              <w:spacing w:after="0" w:line="240" w:lineRule="auto"/>
              <w:rPr>
                <w:rFonts w:ascii="Cambria" w:hAnsi="Cambria" w:eastAsia="Cambria" w:cs="Cambria"/>
                <w:noProof w:val="0"/>
                <w:kern w:val="0"/>
                <w:sz w:val="20"/>
                <w:szCs w:val="20"/>
                <w:lang w:val="ro-RO"/>
                <w14:ligatures w14:val="none"/>
              </w:rPr>
            </w:pPr>
            <w:r w:rsidRPr="544C3BD0" w:rsidR="5DE9F12F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6.</w:t>
            </w:r>
            <w:r w:rsidRPr="544C3BD0" w:rsidR="00796905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lastRenderedPageBreak/>
              <w:t xml:space="preserve"> </w:t>
            </w:r>
            <w:r w:rsidRPr="544C3BD0" w:rsidR="68E34E2D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Continuitate și schimbare a statului social în România după 1989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544C3BD0" w:rsidRDefault="003F659E" w14:paraId="7C4DE394" w14:textId="37AB26F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11BCBFA1">
              <w:rPr>
                <w:rFonts w:ascii="Cambria" w:hAnsi="Cambria" w:eastAsia="Cambria" w:cs="Cambria"/>
                <w:sz w:val="20"/>
                <w:szCs w:val="20"/>
              </w:rPr>
              <w:t>Prezentare, sesiune de întrebări &amp; răspunsuri</w:t>
            </w:r>
          </w:p>
          <w:p w:rsidRPr="00C02345" w:rsidR="003F659E" w:rsidP="544C3BD0" w:rsidRDefault="003F659E" w14:paraId="2B843CBD" w14:textId="1A6541C9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544C3BD0" w:rsidRDefault="003F659E" w14:paraId="0B1AF608" w14:textId="1B9F4519">
            <w:pPr>
              <w:pStyle w:val="Normal"/>
              <w:suppressLineNumbers w:val="0"/>
              <w:bidi w:val="0"/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7DFBFBC3">
              <w:rPr>
                <w:rFonts w:ascii="Cambria" w:hAnsi="Cambria" w:eastAsia="Cambria" w:cs="Cambria"/>
                <w:sz w:val="20"/>
                <w:szCs w:val="20"/>
              </w:rPr>
              <w:t>Sunt posibile mici modificări tematice</w:t>
            </w:r>
            <w:r w:rsidRPr="544C3BD0" w:rsidR="4982C8F0">
              <w:rPr>
                <w:rFonts w:ascii="Cambria" w:hAnsi="Cambria" w:eastAsia="Cambria" w:cs="Cambria"/>
                <w:sz w:val="20"/>
                <w:szCs w:val="20"/>
              </w:rPr>
              <w:t xml:space="preserve"> și de bibliografie</w:t>
            </w:r>
            <w:r w:rsidRPr="544C3BD0" w:rsidR="7DFBFBC3">
              <w:rPr>
                <w:rFonts w:ascii="Cambria" w:hAnsi="Cambria" w:eastAsia="Cambria" w:cs="Cambria"/>
                <w:sz w:val="20"/>
                <w:szCs w:val="20"/>
              </w:rPr>
              <w:t xml:space="preserve"> pe parcurs.</w:t>
            </w:r>
          </w:p>
        </w:tc>
      </w:tr>
      <w:tr w:rsidRPr="00C02345" w:rsidR="008C28C6" w:rsidTr="544C3BD0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544C3BD0" w:rsidRDefault="00796905" w14:paraId="27E482FC" w14:textId="1DB6D364">
            <w:pPr>
              <w:spacing w:after="0" w:line="240" w:lineRule="auto"/>
              <w:rPr>
                <w:rFonts w:ascii="Cambria" w:hAnsi="Cambria" w:eastAsia="Cambria" w:cs="Cambria"/>
                <w:noProof w:val="0"/>
                <w:kern w:val="0"/>
                <w:sz w:val="20"/>
                <w:szCs w:val="20"/>
                <w:lang w:val="ro-RO"/>
                <w14:ligatures w14:val="none"/>
              </w:rPr>
            </w:pPr>
            <w:r w:rsidRPr="544C3BD0" w:rsidR="0298B0ED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7</w:t>
            </w:r>
            <w:r w:rsidRPr="544C3BD0" w:rsidR="00796905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. </w:t>
            </w:r>
            <w:r w:rsidRPr="544C3BD0" w:rsidR="0C340A1B"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544C3BD0" w:rsidR="0C340A1B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Sistemul de pensii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544C3BD0" w:rsidRDefault="003F659E" w14:paraId="1FD5334C" w14:textId="37AB26F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4CDB2AAF">
              <w:rPr>
                <w:rFonts w:ascii="Cambria" w:hAnsi="Cambria" w:eastAsia="Cambria" w:cs="Cambria"/>
                <w:sz w:val="20"/>
                <w:szCs w:val="20"/>
              </w:rPr>
              <w:t>Prezentare, sesiune de întrebări &amp; răspunsuri</w:t>
            </w:r>
          </w:p>
          <w:p w:rsidRPr="00C02345" w:rsidR="003F659E" w:rsidP="544C3BD0" w:rsidRDefault="003F659E" w14:paraId="0481BF6A" w14:textId="07FA835F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vMerge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544C3BD0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44C3BD0" w:rsidP="544C3BD0" w:rsidRDefault="544C3BD0" w14:paraId="5044E6F0" w14:textId="0D01E45B">
            <w:pPr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8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. </w:t>
            </w:r>
            <w:r w:rsidRPr="544C3BD0" w:rsidR="544C3BD0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Politici privind ocuparea în muncă și protecția socială a șomerilor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544C3BD0" w:rsidRDefault="00796905" w14:paraId="321BB9D1" w14:textId="37AB26F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4C9768D1">
              <w:rPr>
                <w:rFonts w:ascii="Cambria" w:hAnsi="Cambria" w:eastAsia="Cambria" w:cs="Cambria"/>
                <w:sz w:val="20"/>
                <w:szCs w:val="20"/>
              </w:rPr>
              <w:t>Prezentare, sesiune de întrebări &amp; răspunsuri</w:t>
            </w:r>
          </w:p>
          <w:p w:rsidRPr="00C02345" w:rsidR="00796905" w:rsidP="544C3BD0" w:rsidRDefault="00796905" w14:paraId="0C8E1A01" w14:textId="62F54EAD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vMerge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544C3BD0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44C3BD0" w:rsidP="544C3BD0" w:rsidRDefault="544C3BD0" w14:paraId="0FE53481" w14:textId="3FBB083A">
            <w:pPr>
              <w:spacing w:after="0" w:line="240" w:lineRule="auto"/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9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. </w:t>
            </w:r>
            <w:r w:rsidRPr="544C3BD0" w:rsidR="544C3BD0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Politici familiale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544C3BD0" w:rsidRDefault="00796905" w14:paraId="4CD1FA8D" w14:textId="37AB26F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027A0A9C">
              <w:rPr>
                <w:rFonts w:ascii="Cambria" w:hAnsi="Cambria" w:eastAsia="Cambria" w:cs="Cambria"/>
                <w:sz w:val="20"/>
                <w:szCs w:val="20"/>
              </w:rPr>
              <w:t>Prezentare, sesiune de întrebări &amp; răspunsuri</w:t>
            </w:r>
          </w:p>
          <w:p w:rsidRPr="00C02345" w:rsidR="00796905" w:rsidP="544C3BD0" w:rsidRDefault="00796905" w14:paraId="0330C9B0" w14:textId="44F268DD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vMerge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544C3BD0" w14:paraId="3DD2CF84" w14:textId="77777777">
        <w:trPr>
          <w:trHeight w:val="420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44C3BD0" w:rsidP="544C3BD0" w:rsidRDefault="544C3BD0" w14:paraId="63A9601C" w14:textId="17A2B2DB">
            <w:pPr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1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0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.  </w:t>
            </w:r>
            <w:r w:rsidRPr="544C3BD0" w:rsidR="544C3BD0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Sărăcie și marginalizare socială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544C3BD0" w:rsidRDefault="00796905" w14:paraId="37193923" w14:textId="37AB26F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3AEBCE3F">
              <w:rPr>
                <w:rFonts w:ascii="Cambria" w:hAnsi="Cambria" w:eastAsia="Cambria" w:cs="Cambria"/>
                <w:sz w:val="20"/>
                <w:szCs w:val="20"/>
              </w:rPr>
              <w:t>Prezentare, sesiune de întrebări &amp; răspunsuri</w:t>
            </w:r>
          </w:p>
          <w:p w:rsidRPr="00C02345" w:rsidR="00796905" w:rsidP="544C3BD0" w:rsidRDefault="00796905" w14:paraId="5B606949" w14:textId="0FC4F5E5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vMerge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544C3BD0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44C3BD0" w:rsidP="544C3BD0" w:rsidRDefault="544C3BD0" w14:paraId="0A4A57AA" w14:textId="4EDD7286">
            <w:pPr>
              <w:spacing w:after="0" w:line="240" w:lineRule="auto"/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1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1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. 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  <w:r w:rsidRPr="544C3BD0" w:rsidR="544C3BD0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Protecția veniturilor minime și combaterea excluziunii sociale. Subvenționarea locuirii și a serviciilor publice de bază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544C3BD0" w:rsidRDefault="00796905" w14:paraId="3ABA8048" w14:textId="37AB26F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29BFFC05">
              <w:rPr>
                <w:rFonts w:ascii="Cambria" w:hAnsi="Cambria" w:eastAsia="Cambria" w:cs="Cambria"/>
                <w:sz w:val="20"/>
                <w:szCs w:val="20"/>
              </w:rPr>
              <w:t>Prezentare, sesiune de întrebări &amp; răspunsuri</w:t>
            </w:r>
          </w:p>
          <w:p w:rsidRPr="00C02345" w:rsidR="00796905" w:rsidP="544C3BD0" w:rsidRDefault="00796905" w14:paraId="007A7F01" w14:textId="27928B95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vMerge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544C3BD0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44C3BD0" w:rsidP="544C3BD0" w:rsidRDefault="544C3BD0" w14:paraId="747B1B56" w14:textId="4566C8D2">
            <w:pPr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1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2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.  </w:t>
            </w:r>
            <w:r w:rsidRPr="544C3BD0" w:rsidR="544C3BD0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Politici de protecție a sănătății și sistemul de asigurări de sănătate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544C3BD0" w:rsidRDefault="00796905" w14:paraId="5030C15B" w14:textId="37AB26F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71A96D04">
              <w:rPr>
                <w:rFonts w:ascii="Cambria" w:hAnsi="Cambria" w:eastAsia="Cambria" w:cs="Cambria"/>
                <w:sz w:val="20"/>
                <w:szCs w:val="20"/>
              </w:rPr>
              <w:t>Prezentare, sesiune de întrebări &amp; răspunsuri</w:t>
            </w:r>
          </w:p>
          <w:p w:rsidRPr="00C02345" w:rsidR="00796905" w:rsidP="544C3BD0" w:rsidRDefault="00796905" w14:paraId="38690E1D" w14:textId="76EA1ACD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vMerge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544C3BD0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44C3BD0" w:rsidP="544C3BD0" w:rsidRDefault="544C3BD0" w14:paraId="24ACF03E" w14:textId="45F7A8C3">
            <w:pPr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1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3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. </w:t>
            </w:r>
            <w:r w:rsidRPr="544C3BD0" w:rsidR="544C3BD0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Protecția socială a persoanelor cu dizabilități și organizarea serviciilor sociale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544C3BD0" w:rsidRDefault="00796905" w14:paraId="4F40E093" w14:textId="37AB26F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2A53FE84">
              <w:rPr>
                <w:rFonts w:ascii="Cambria" w:hAnsi="Cambria" w:eastAsia="Cambria" w:cs="Cambria"/>
                <w:sz w:val="20"/>
                <w:szCs w:val="20"/>
              </w:rPr>
              <w:t>Prezentare, sesiune de întrebări &amp; răspunsuri</w:t>
            </w:r>
          </w:p>
          <w:p w:rsidRPr="00C02345" w:rsidR="00796905" w:rsidP="544C3BD0" w:rsidRDefault="00796905" w14:paraId="3FF1A11C" w14:textId="5292811B">
            <w:pPr>
              <w:spacing w:after="0" w:line="240" w:lineRule="auto"/>
              <w:rPr>
                <w:rFonts w:ascii="Cambria" w:hAnsi="Cambria" w:eastAsia="Cambria" w:cs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vMerge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544C3BD0" w:rsidTr="544C3BD0" w14:paraId="5B7336C9">
        <w:trPr>
          <w:trHeight w:val="300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D21F64A" w:rsidP="544C3BD0" w:rsidRDefault="7D21F64A" w14:paraId="03E3E9D2" w14:textId="23479A5F">
            <w:pPr>
              <w:pStyle w:val="Normal"/>
              <w:spacing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7D21F64A">
              <w:rPr>
                <w:rFonts w:ascii="Cambria" w:hAnsi="Cambria" w:eastAsia="Cambria" w:cs="Cambria"/>
                <w:sz w:val="20"/>
                <w:szCs w:val="20"/>
              </w:rPr>
              <w:t>14. Recapitulare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69A4ACC" w:rsidP="544C3BD0" w:rsidRDefault="369A4ACC" w14:paraId="317CB946" w14:textId="275A1C50">
            <w:pPr>
              <w:pStyle w:val="Normal"/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369A4ACC">
              <w:rPr>
                <w:rFonts w:ascii="Cambria" w:hAnsi="Cambria" w:eastAsia="Cambria" w:cs="Cambria"/>
                <w:sz w:val="20"/>
                <w:szCs w:val="20"/>
              </w:rPr>
              <w:t>Recapitulare, sesiune de întrebări &amp; răspunsuri</w:t>
            </w:r>
          </w:p>
        </w:tc>
        <w:tc>
          <w:tcPr>
            <w:tcW w:w="1656" w:type="dxa"/>
            <w:vMerge/>
            <w:tcBorders>
              <w:left w:val="single" w:color="auto" w:sz="4" w:space="0"/>
              <w:bottom w:val="single" w:color="auto" w:sz="4"/>
              <w:right w:val="single" w:color="auto" w:sz="4" w:space="0"/>
            </w:tcBorders>
            <w:tcMar/>
            <w:vAlign w:val="center"/>
          </w:tcPr>
          <w:p w14:paraId="68955EA0"/>
        </w:tc>
      </w:tr>
      <w:tr w:rsidRPr="00C02345" w:rsidR="008C28C6" w:rsidTr="544C3BD0" w14:paraId="724C172F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3F659E" w:rsidP="544C3BD0" w:rsidRDefault="003F659E" w14:paraId="24554D0C" w14:textId="77777777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</w:pPr>
            <w:r w:rsidRPr="544C3BD0" w:rsidR="003F659E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8.2 Seminar / laborator</w:t>
            </w:r>
          </w:p>
        </w:tc>
        <w:tc>
          <w:tcPr>
            <w:tcW w:w="4440" w:type="dxa"/>
            <w:tcMar/>
            <w:vAlign w:val="center"/>
          </w:tcPr>
          <w:p w:rsidRPr="00C02345" w:rsidR="003F659E" w:rsidP="544C3BD0" w:rsidRDefault="003F659E" w14:paraId="77799169" w14:textId="77777777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</w:pPr>
            <w:r w:rsidRPr="544C3BD0" w:rsidR="003F659E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Metode de predare</w:t>
            </w:r>
          </w:p>
        </w:tc>
        <w:tc>
          <w:tcPr>
            <w:tcW w:w="1656" w:type="dxa"/>
            <w:tcMar/>
            <w:vAlign w:val="center"/>
          </w:tcPr>
          <w:p w:rsidRPr="00C02345" w:rsidR="003F659E" w:rsidP="544C3BD0" w:rsidRDefault="003F659E" w14:paraId="0DCC5100" w14:textId="77777777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</w:pPr>
            <w:r w:rsidRPr="544C3BD0" w:rsidR="003F659E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Observații</w:t>
            </w:r>
          </w:p>
        </w:tc>
      </w:tr>
      <w:tr w:rsidRPr="00C02345" w:rsidR="008C28C6" w:rsidTr="544C3BD0" w14:paraId="74734A4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3F659E" w:rsidP="544C3BD0" w:rsidRDefault="00796905" w14:paraId="6C224A07" w14:textId="34D5BF9F">
            <w:pPr>
              <w:pStyle w:val="Normal"/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1. </w:t>
            </w:r>
            <w:r w:rsidRPr="544C3BD0" w:rsidR="29AEFDEE">
              <w:rPr>
                <w:rFonts w:ascii="Cambria" w:hAnsi="Cambria" w:eastAsia="Cambria" w:cs="Cambria"/>
                <w:sz w:val="20"/>
                <w:szCs w:val="20"/>
              </w:rPr>
              <w:t>Intro</w:t>
            </w:r>
            <w:r w:rsidRPr="544C3BD0" w:rsidR="2FDBAB29">
              <w:rPr>
                <w:rFonts w:ascii="Cambria" w:hAnsi="Cambria" w:eastAsia="Cambria" w:cs="Cambria"/>
                <w:sz w:val="20"/>
                <w:szCs w:val="20"/>
              </w:rPr>
              <w:t>d</w:t>
            </w:r>
            <w:r w:rsidRPr="544C3BD0" w:rsidR="29AEFDEE">
              <w:rPr>
                <w:rFonts w:ascii="Cambria" w:hAnsi="Cambria" w:eastAsia="Cambria" w:cs="Cambria"/>
                <w:sz w:val="20"/>
                <w:szCs w:val="20"/>
              </w:rPr>
              <w:t>ucere: perspective politice asupra statului social</w:t>
            </w:r>
          </w:p>
        </w:tc>
        <w:tc>
          <w:tcPr>
            <w:tcW w:w="4440" w:type="dxa"/>
            <w:tcMar/>
            <w:vAlign w:val="center"/>
          </w:tcPr>
          <w:p w:rsidRPr="00C02345" w:rsidR="003F659E" w:rsidP="544C3BD0" w:rsidRDefault="003F659E" w14:paraId="7A7ED45E" w14:textId="4171C600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2912AA88">
              <w:rPr>
                <w:rFonts w:ascii="Cambria" w:hAnsi="Cambria" w:eastAsia="Cambria" w:cs="Cambria"/>
                <w:sz w:val="20"/>
                <w:szCs w:val="20"/>
              </w:rPr>
              <w:t>Discutarea lecturilor indicate pornind de la temele redactate acasă de către studenți</w:t>
            </w:r>
            <w:r w:rsidRPr="544C3BD0" w:rsidR="0F673793">
              <w:rPr>
                <w:rFonts w:ascii="Cambria" w:hAnsi="Cambria" w:eastAsia="Cambria" w:cs="Cambria"/>
                <w:sz w:val="20"/>
                <w:szCs w:val="20"/>
              </w:rPr>
              <w:t>, sesiune de întrebări și răspunsuri (Q&amp;A)</w:t>
            </w:r>
          </w:p>
        </w:tc>
        <w:tc>
          <w:tcPr>
            <w:tcW w:w="1656" w:type="dxa"/>
            <w:vMerge w:val="restart"/>
            <w:tcMar/>
            <w:vAlign w:val="center"/>
          </w:tcPr>
          <w:p w:rsidRPr="00C02345" w:rsidR="003F659E" w:rsidP="544C3BD0" w:rsidRDefault="003F659E" w14:paraId="48E5DA63" w14:textId="21744C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2912AA88">
              <w:rPr>
                <w:rFonts w:ascii="Cambria" w:hAnsi="Cambria" w:eastAsia="Cambria" w:cs="Cambria"/>
                <w:sz w:val="20"/>
                <w:szCs w:val="20"/>
              </w:rPr>
              <w:t>Sunt posibile mici modificări tematice și de bibliografie pe parcurs.</w:t>
            </w:r>
          </w:p>
          <w:p w:rsidRPr="00C02345" w:rsidR="003F659E" w:rsidP="544C3BD0" w:rsidRDefault="003F659E" w14:paraId="6EA614A7" w14:textId="01F93F1D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C02345" w:rsidR="008C28C6" w:rsidTr="544C3BD0" w14:paraId="058026E7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3F659E" w:rsidP="544C3BD0" w:rsidRDefault="00796905" w14:paraId="05F51FCC" w14:textId="5D4A8420">
            <w:pPr>
              <w:pStyle w:val="Normal"/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2. </w:t>
            </w:r>
            <w:r w:rsidRPr="544C3BD0" w:rsidR="13A96F08">
              <w:rPr>
                <w:rFonts w:ascii="Cambria" w:hAnsi="Cambria" w:eastAsia="Cambria" w:cs="Cambria"/>
                <w:sz w:val="20"/>
                <w:szCs w:val="20"/>
              </w:rPr>
              <w:t>Cetățenie socială și dezvoltarea statului social</w:t>
            </w:r>
          </w:p>
        </w:tc>
        <w:tc>
          <w:tcPr>
            <w:tcW w:w="4440" w:type="dxa"/>
            <w:tcMar/>
            <w:vAlign w:val="center"/>
          </w:tcPr>
          <w:p w:rsidRPr="00C02345" w:rsidR="003F659E" w:rsidP="544C3BD0" w:rsidRDefault="003F659E" w14:paraId="27D189C9" w14:textId="753BB3FB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0C7F1543">
              <w:rPr>
                <w:rFonts w:ascii="Cambria" w:hAnsi="Cambria" w:eastAsia="Cambria" w:cs="Cambria"/>
                <w:sz w:val="20"/>
                <w:szCs w:val="20"/>
              </w:rPr>
              <w:t>Discutarea lecturilor indicate pornind de la temele redactate acasă de către studenți, Q&amp;A</w:t>
            </w:r>
          </w:p>
        </w:tc>
        <w:tc>
          <w:tcPr>
            <w:tcW w:w="1656" w:type="dxa"/>
            <w:vMerge/>
            <w:tcMar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544C3BD0" w14:paraId="080DEBDB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544C3BD0" w:rsidRDefault="00796905" w14:paraId="12886A01" w14:textId="2BF18246">
            <w:pPr>
              <w:pStyle w:val="Normal"/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3. </w:t>
            </w:r>
            <w:r w:rsidRPr="544C3BD0" w:rsidR="42CC68E1">
              <w:rPr>
                <w:rFonts w:ascii="Cambria" w:hAnsi="Cambria" w:eastAsia="Cambria" w:cs="Cambria"/>
                <w:sz w:val="20"/>
                <w:szCs w:val="20"/>
              </w:rPr>
              <w:t>Modele de organizare a statului social</w:t>
            </w:r>
          </w:p>
        </w:tc>
        <w:tc>
          <w:tcPr>
            <w:tcW w:w="4440" w:type="dxa"/>
            <w:tcMar/>
            <w:vAlign w:val="center"/>
          </w:tcPr>
          <w:p w:rsidRPr="00C02345" w:rsidR="00796905" w:rsidP="544C3BD0" w:rsidRDefault="00796905" w14:paraId="165754E0" w14:textId="0491192D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07715077">
              <w:rPr>
                <w:rFonts w:ascii="Cambria" w:hAnsi="Cambria" w:eastAsia="Cambria" w:cs="Cambria"/>
                <w:sz w:val="20"/>
                <w:szCs w:val="20"/>
              </w:rPr>
              <w:t>Discutarea lecturilor indicate pornind de la temele redactate acasă de către studenți, Q&amp;A</w:t>
            </w:r>
          </w:p>
        </w:tc>
        <w:tc>
          <w:tcPr>
            <w:tcW w:w="1656" w:type="dxa"/>
            <w:vMerge/>
            <w:tcMar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544C3BD0" w14:paraId="2E0779CC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544C3BD0" w:rsidRDefault="00796905" w14:paraId="58400282" w14:textId="200A318F">
            <w:pPr>
              <w:pStyle w:val="Normal"/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4. </w:t>
            </w:r>
            <w:r w:rsidRPr="544C3BD0" w:rsidR="43B1E481">
              <w:rPr>
                <w:rFonts w:ascii="Cambria" w:hAnsi="Cambria" w:eastAsia="Cambria" w:cs="Cambria"/>
                <w:sz w:val="20"/>
                <w:szCs w:val="20"/>
              </w:rPr>
              <w:t>Abordări contemporane ale statului social</w:t>
            </w:r>
          </w:p>
        </w:tc>
        <w:tc>
          <w:tcPr>
            <w:tcW w:w="4440" w:type="dxa"/>
            <w:tcMar/>
            <w:vAlign w:val="center"/>
          </w:tcPr>
          <w:p w:rsidRPr="00C02345" w:rsidR="00796905" w:rsidP="544C3BD0" w:rsidRDefault="00796905" w14:paraId="2AAD228C" w14:textId="4216B266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6E922BC7">
              <w:rPr>
                <w:rFonts w:ascii="Cambria" w:hAnsi="Cambria" w:eastAsia="Cambria" w:cs="Cambria"/>
                <w:sz w:val="20"/>
                <w:szCs w:val="20"/>
              </w:rPr>
              <w:t>Discutarea lecturilor indicate pornind de la temele redactate acasă de către studenți, Q&amp;A</w:t>
            </w:r>
          </w:p>
        </w:tc>
        <w:tc>
          <w:tcPr>
            <w:tcW w:w="1656" w:type="dxa"/>
            <w:vMerge/>
            <w:tcMar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544C3BD0" w14:paraId="620D6B19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544C3BD0" w:rsidRDefault="00796905" w14:paraId="3875E89E" w14:textId="746C701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00796905">
              <w:rPr>
                <w:rFonts w:ascii="Cambria" w:hAnsi="Cambria" w:eastAsia="Cambria" w:cs="Cambria"/>
                <w:sz w:val="20"/>
                <w:szCs w:val="20"/>
              </w:rPr>
              <w:t>5.</w:t>
            </w:r>
            <w:r w:rsidRPr="544C3BD0" w:rsidR="7718CB55">
              <w:rPr>
                <w:rFonts w:ascii="Cambria" w:hAnsi="Cambria" w:eastAsia="Cambria" w:cs="Cambria"/>
                <w:sz w:val="20"/>
                <w:szCs w:val="20"/>
              </w:rPr>
              <w:t xml:space="preserve">Politici sociale în România în perioada </w:t>
            </w:r>
            <w:r w:rsidRPr="544C3BD0" w:rsidR="7E0A9922">
              <w:rPr>
                <w:rFonts w:ascii="Cambria" w:hAnsi="Cambria" w:eastAsia="Cambria" w:cs="Cambria"/>
                <w:sz w:val="20"/>
                <w:szCs w:val="20"/>
              </w:rPr>
              <w:t>socialismului de stat</w:t>
            </w:r>
          </w:p>
        </w:tc>
        <w:tc>
          <w:tcPr>
            <w:tcW w:w="4440" w:type="dxa"/>
            <w:tcMar/>
            <w:vAlign w:val="center"/>
          </w:tcPr>
          <w:p w:rsidRPr="00C02345" w:rsidR="00796905" w:rsidP="544C3BD0" w:rsidRDefault="00796905" w14:paraId="1E69B7B6" w14:textId="622998AE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527E6A11">
              <w:rPr>
                <w:rFonts w:ascii="Cambria" w:hAnsi="Cambria" w:eastAsia="Cambria" w:cs="Cambria"/>
                <w:sz w:val="20"/>
                <w:szCs w:val="20"/>
              </w:rPr>
              <w:t>Discutarea lecturilor indicate pornind de la temele redactate acasă de către studenți, Q&amp;A</w:t>
            </w:r>
          </w:p>
        </w:tc>
        <w:tc>
          <w:tcPr>
            <w:tcW w:w="1656" w:type="dxa"/>
            <w:vMerge/>
            <w:tcMar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544C3BD0" w14:paraId="1B5A601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544C3BD0" w:rsidRDefault="00796905" w14:paraId="67757036" w14:textId="0CD09EDB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00796905">
              <w:rPr>
                <w:rFonts w:ascii="Cambria" w:hAnsi="Cambria" w:eastAsia="Cambria" w:cs="Cambria"/>
                <w:sz w:val="20"/>
                <w:szCs w:val="20"/>
              </w:rPr>
              <w:t>6.</w:t>
            </w:r>
            <w:r w:rsidRPr="544C3BD0" w:rsidR="26C45C58">
              <w:rPr>
                <w:rFonts w:ascii="Cambria" w:hAnsi="Cambria" w:eastAsia="Cambria" w:cs="Cambria"/>
                <w:sz w:val="20"/>
                <w:szCs w:val="20"/>
              </w:rPr>
              <w:t>Politici sociale în România în perioada transformărilor postsocialiste</w:t>
            </w:r>
          </w:p>
        </w:tc>
        <w:tc>
          <w:tcPr>
            <w:tcW w:w="4440" w:type="dxa"/>
            <w:tcMar/>
            <w:vAlign w:val="center"/>
          </w:tcPr>
          <w:p w:rsidRPr="00C02345" w:rsidR="00796905" w:rsidP="544C3BD0" w:rsidRDefault="00796905" w14:paraId="1F5EA761" w14:textId="69AA7D29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58973525">
              <w:rPr>
                <w:rFonts w:ascii="Cambria" w:hAnsi="Cambria" w:eastAsia="Cambria" w:cs="Cambria"/>
                <w:sz w:val="20"/>
                <w:szCs w:val="20"/>
              </w:rPr>
              <w:t>Discutarea lecturilor indicate pornind de la temele redactate acasă de către studenți, Q&amp;A</w:t>
            </w:r>
          </w:p>
        </w:tc>
        <w:tc>
          <w:tcPr>
            <w:tcW w:w="1656" w:type="dxa"/>
            <w:vMerge/>
            <w:tcMar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544C3BD0" w14:paraId="18F81C0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544C3BD0" w:rsidRDefault="00796905" w14:paraId="540BB0BC" w14:textId="06FD4331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00796905">
              <w:rPr>
                <w:rFonts w:ascii="Cambria" w:hAnsi="Cambria" w:eastAsia="Cambria" w:cs="Cambria"/>
                <w:sz w:val="20"/>
                <w:szCs w:val="20"/>
              </w:rPr>
              <w:t>7.</w:t>
            </w:r>
            <w:r w:rsidRPr="544C3BD0" w:rsidR="1C4E835D">
              <w:rPr>
                <w:rFonts w:ascii="Cambria" w:hAnsi="Cambria" w:eastAsia="Cambria" w:cs="Cambria"/>
                <w:sz w:val="20"/>
                <w:szCs w:val="20"/>
              </w:rPr>
              <w:t>Sistemul de pensii</w:t>
            </w:r>
          </w:p>
        </w:tc>
        <w:tc>
          <w:tcPr>
            <w:tcW w:w="4440" w:type="dxa"/>
            <w:tcMar/>
            <w:vAlign w:val="center"/>
          </w:tcPr>
          <w:p w:rsidRPr="00C02345" w:rsidR="00796905" w:rsidP="544C3BD0" w:rsidRDefault="00796905" w14:paraId="5F87FF47" w14:textId="61CBB010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79DC6D87">
              <w:rPr>
                <w:rFonts w:ascii="Cambria" w:hAnsi="Cambria" w:eastAsia="Cambria" w:cs="Cambria"/>
                <w:sz w:val="20"/>
                <w:szCs w:val="20"/>
              </w:rPr>
              <w:t>Dezbatere de seminar pregătită de studenți (format Karl Popper adaptat), Q&amp;A</w:t>
            </w:r>
          </w:p>
        </w:tc>
        <w:tc>
          <w:tcPr>
            <w:tcW w:w="1656" w:type="dxa"/>
            <w:vMerge/>
            <w:tcMar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544C3BD0" w14:paraId="20F18C72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72224AF5" w:rsidP="544C3BD0" w:rsidRDefault="72224AF5" w14:paraId="58BE607C" w14:textId="0D01E45B">
            <w:pPr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544C3BD0" w:rsidR="72224AF5">
              <w:rPr>
                <w:rFonts w:ascii="Cambria" w:hAnsi="Cambria" w:eastAsia="Cambria" w:cs="Cambria"/>
                <w:sz w:val="20"/>
                <w:szCs w:val="20"/>
              </w:rPr>
              <w:t>8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. </w:t>
            </w:r>
            <w:r w:rsidRPr="544C3BD0" w:rsidR="72EA7517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Politici privind ocuparea în muncă și protecția socială a șomerilor</w:t>
            </w:r>
          </w:p>
        </w:tc>
        <w:tc>
          <w:tcPr>
            <w:tcW w:w="4440" w:type="dxa"/>
            <w:tcMar/>
            <w:vAlign w:val="center"/>
          </w:tcPr>
          <w:p w:rsidRPr="00C02345" w:rsidR="00796905" w:rsidP="544C3BD0" w:rsidRDefault="00796905" w14:paraId="3A403D32" w14:textId="46DA44D5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20E52864">
              <w:rPr>
                <w:rFonts w:ascii="Cambria" w:hAnsi="Cambria" w:eastAsia="Cambria" w:cs="Cambria"/>
                <w:sz w:val="20"/>
                <w:szCs w:val="20"/>
              </w:rPr>
              <w:t>Dezbatere de seminar pregătită de studenți (format Karl Popper adaptat), Q&amp;A</w:t>
            </w:r>
          </w:p>
        </w:tc>
        <w:tc>
          <w:tcPr>
            <w:tcW w:w="1656" w:type="dxa"/>
            <w:vMerge/>
            <w:tcMar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544C3BD0" w14:paraId="79D5ED8E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35A525BF" w:rsidP="544C3BD0" w:rsidRDefault="35A525BF" w14:paraId="57D6CEB4" w14:textId="3FBB083A">
            <w:pPr>
              <w:spacing w:after="0" w:line="240" w:lineRule="auto"/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35A525BF">
              <w:rPr>
                <w:rFonts w:ascii="Cambria" w:hAnsi="Cambria" w:eastAsia="Cambria" w:cs="Cambria"/>
                <w:sz w:val="20"/>
                <w:szCs w:val="20"/>
              </w:rPr>
              <w:t>9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. </w:t>
            </w:r>
            <w:r w:rsidRPr="544C3BD0" w:rsidR="4E5C7841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Politici familiale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440" w:type="dxa"/>
            <w:tcMar/>
            <w:vAlign w:val="center"/>
          </w:tcPr>
          <w:p w:rsidRPr="00C02345" w:rsidR="00796905" w:rsidP="544C3BD0" w:rsidRDefault="00796905" w14:paraId="37388CE2" w14:textId="257772C8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2FC64649">
              <w:rPr>
                <w:rFonts w:ascii="Cambria" w:hAnsi="Cambria" w:eastAsia="Cambria" w:cs="Cambria"/>
                <w:sz w:val="20"/>
                <w:szCs w:val="20"/>
              </w:rPr>
              <w:t>Dezbatere de seminar pregătită de studenți (format Karl Popper adaptat), Q&amp;A</w:t>
            </w:r>
          </w:p>
        </w:tc>
        <w:tc>
          <w:tcPr>
            <w:tcW w:w="1656" w:type="dxa"/>
            <w:vMerge/>
            <w:tcMar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544C3BD0" w14:paraId="4D7660B9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544C3BD0" w:rsidP="544C3BD0" w:rsidRDefault="544C3BD0" w14:paraId="71815455" w14:textId="17A2B2DB">
            <w:pPr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1</w:t>
            </w:r>
            <w:r w:rsidRPr="544C3BD0" w:rsidR="1B3CF308">
              <w:rPr>
                <w:rFonts w:ascii="Cambria" w:hAnsi="Cambria" w:eastAsia="Cambria" w:cs="Cambria"/>
                <w:sz w:val="20"/>
                <w:szCs w:val="20"/>
              </w:rPr>
              <w:t>0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.  </w:t>
            </w:r>
            <w:r w:rsidRPr="544C3BD0" w:rsidR="7FDE226F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Sărăcie și marginalizare socială</w:t>
            </w:r>
          </w:p>
        </w:tc>
        <w:tc>
          <w:tcPr>
            <w:tcW w:w="4440" w:type="dxa"/>
            <w:tcMar/>
            <w:vAlign w:val="center"/>
          </w:tcPr>
          <w:p w:rsidRPr="00C02345" w:rsidR="00796905" w:rsidP="544C3BD0" w:rsidRDefault="00796905" w14:paraId="188C0BCD" w14:textId="5A2F6CB6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7FDE226F">
              <w:rPr>
                <w:rFonts w:ascii="Cambria" w:hAnsi="Cambria" w:eastAsia="Cambria" w:cs="Cambria"/>
                <w:sz w:val="20"/>
                <w:szCs w:val="20"/>
              </w:rPr>
              <w:t>Discutarea lecturilor indicate pornind de la temele redactate acasă de către studenți, Q&amp;A</w:t>
            </w:r>
          </w:p>
        </w:tc>
        <w:tc>
          <w:tcPr>
            <w:tcW w:w="1656" w:type="dxa"/>
            <w:vMerge/>
            <w:tcMar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544C3BD0" w14:paraId="0FA727A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544C3BD0" w:rsidP="544C3BD0" w:rsidRDefault="544C3BD0" w14:paraId="5CF5189D" w14:textId="4EDD7286">
            <w:pPr>
              <w:spacing w:after="0" w:line="240" w:lineRule="auto"/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1</w:t>
            </w:r>
            <w:r w:rsidRPr="544C3BD0" w:rsidR="5C8ABADF">
              <w:rPr>
                <w:rFonts w:ascii="Cambria" w:hAnsi="Cambria" w:eastAsia="Cambria" w:cs="Cambria"/>
                <w:sz w:val="20"/>
                <w:szCs w:val="20"/>
              </w:rPr>
              <w:t>1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. </w:t>
            </w:r>
            <w:r w:rsidRPr="544C3BD0" w:rsidR="20035123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  <w:r w:rsidRPr="544C3BD0" w:rsidR="20035123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Protecția veniturilor minime și combaterea excluziunii sociale. Subvenționarea locuirii și a serviciilor publice de bază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440" w:type="dxa"/>
            <w:tcMar/>
            <w:vAlign w:val="center"/>
          </w:tcPr>
          <w:p w:rsidRPr="00C02345" w:rsidR="00796905" w:rsidP="544C3BD0" w:rsidRDefault="00796905" w14:paraId="14EC253D" w14:textId="7666EFC6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5EA18770">
              <w:rPr>
                <w:rFonts w:ascii="Cambria" w:hAnsi="Cambria" w:eastAsia="Cambria" w:cs="Cambria"/>
                <w:sz w:val="20"/>
                <w:szCs w:val="20"/>
              </w:rPr>
              <w:t>Dezbatere de seminar pregătită de studenți (format Karl Popper adaptat), Q&amp;A</w:t>
            </w:r>
          </w:p>
        </w:tc>
        <w:tc>
          <w:tcPr>
            <w:tcW w:w="1656" w:type="dxa"/>
            <w:vMerge/>
            <w:tcMar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544C3BD0" w14:paraId="73D659B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544C3BD0" w:rsidP="544C3BD0" w:rsidRDefault="544C3BD0" w14:paraId="0F09F669" w14:textId="4566C8D2">
            <w:pPr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1</w:t>
            </w:r>
            <w:r w:rsidRPr="544C3BD0" w:rsidR="5B494F74">
              <w:rPr>
                <w:rFonts w:ascii="Cambria" w:hAnsi="Cambria" w:eastAsia="Cambria" w:cs="Cambria"/>
                <w:sz w:val="20"/>
                <w:szCs w:val="20"/>
              </w:rPr>
              <w:t>2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.  </w:t>
            </w:r>
            <w:r w:rsidRPr="544C3BD0" w:rsidR="5E8062C5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Politici de protecție a sănătății și sistemul de asigurări de sănătate</w:t>
            </w:r>
          </w:p>
        </w:tc>
        <w:tc>
          <w:tcPr>
            <w:tcW w:w="4440" w:type="dxa"/>
            <w:tcMar/>
            <w:vAlign w:val="center"/>
          </w:tcPr>
          <w:p w:rsidRPr="00C02345" w:rsidR="00796905" w:rsidP="544C3BD0" w:rsidRDefault="00796905" w14:paraId="5888ECC5" w14:textId="7E23165F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67694EB2">
              <w:rPr>
                <w:rFonts w:ascii="Cambria" w:hAnsi="Cambria" w:eastAsia="Cambria" w:cs="Cambria"/>
                <w:sz w:val="20"/>
                <w:szCs w:val="20"/>
              </w:rPr>
              <w:t>Dezbatere de seminar pregătită de studenți (format Karl Popper adaptat), Q&amp;A</w:t>
            </w:r>
          </w:p>
        </w:tc>
        <w:tc>
          <w:tcPr>
            <w:tcW w:w="1656" w:type="dxa"/>
            <w:vMerge/>
            <w:tcMar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544C3BD0" w14:paraId="7D7D415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544C3BD0" w:rsidP="544C3BD0" w:rsidRDefault="544C3BD0" w14:paraId="34B75F8B" w14:textId="45F7A8C3">
            <w:pPr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>1</w:t>
            </w:r>
            <w:r w:rsidRPr="544C3BD0" w:rsidR="5C68DE3E">
              <w:rPr>
                <w:rFonts w:ascii="Cambria" w:hAnsi="Cambria" w:eastAsia="Cambria" w:cs="Cambria"/>
                <w:sz w:val="20"/>
                <w:szCs w:val="20"/>
              </w:rPr>
              <w:t>3</w:t>
            </w:r>
            <w:r w:rsidRPr="544C3BD0" w:rsidR="544C3BD0">
              <w:rPr>
                <w:rFonts w:ascii="Cambria" w:hAnsi="Cambria" w:eastAsia="Cambria" w:cs="Cambria"/>
                <w:sz w:val="20"/>
                <w:szCs w:val="20"/>
              </w:rPr>
              <w:t xml:space="preserve">. </w:t>
            </w:r>
            <w:r w:rsidRPr="544C3BD0" w:rsidR="544C3BD0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Protecția socială a persoanelor cu dizabilități și organizarea serviciilor sociale</w:t>
            </w:r>
          </w:p>
        </w:tc>
        <w:tc>
          <w:tcPr>
            <w:tcW w:w="4440" w:type="dxa"/>
            <w:tcMar/>
            <w:vAlign w:val="center"/>
          </w:tcPr>
          <w:p w:rsidRPr="00C02345" w:rsidR="003F659E" w:rsidP="544C3BD0" w:rsidRDefault="003F659E" w14:paraId="4826A110" w14:textId="16FF990E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5A5DA950">
              <w:rPr>
                <w:rFonts w:ascii="Cambria" w:hAnsi="Cambria" w:eastAsia="Cambria" w:cs="Cambria"/>
                <w:sz w:val="20"/>
                <w:szCs w:val="20"/>
              </w:rPr>
              <w:t>Dezbatere de seminar pregătită de studenți (format Karl Popper adaptat), Q&amp;A</w:t>
            </w:r>
          </w:p>
        </w:tc>
        <w:tc>
          <w:tcPr>
            <w:tcW w:w="1656" w:type="dxa"/>
            <w:vMerge/>
            <w:tcMar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544C3BD0" w14:paraId="5C80429B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3F659E" w:rsidP="544C3BD0" w:rsidRDefault="00796905" w14:paraId="49417A7B" w14:textId="74600B2C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5ADD5E57">
              <w:rPr>
                <w:rFonts w:ascii="Cambria" w:hAnsi="Cambria" w:eastAsia="Cambria" w:cs="Cambria"/>
                <w:sz w:val="20"/>
                <w:szCs w:val="20"/>
              </w:rPr>
              <w:t>14. Recapitulare</w:t>
            </w:r>
          </w:p>
        </w:tc>
        <w:tc>
          <w:tcPr>
            <w:tcW w:w="4440" w:type="dxa"/>
            <w:tcMar/>
            <w:vAlign w:val="center"/>
          </w:tcPr>
          <w:p w:rsidRPr="00C02345" w:rsidR="003F659E" w:rsidP="544C3BD0" w:rsidRDefault="003F659E" w14:paraId="70049786" w14:textId="0975C29C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544C3BD0" w:rsidR="66183319">
              <w:rPr>
                <w:rFonts w:ascii="Cambria" w:hAnsi="Cambria" w:eastAsia="Cambria" w:cs="Cambria"/>
                <w:sz w:val="20"/>
                <w:szCs w:val="20"/>
              </w:rPr>
              <w:t>Discutarea lecturilor indicate pornind de la temele redactate acasă de către studenți, Q&amp;A</w:t>
            </w:r>
          </w:p>
        </w:tc>
        <w:tc>
          <w:tcPr>
            <w:tcW w:w="1656" w:type="dxa"/>
            <w:vMerge/>
            <w:tcMar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544C3BD0" w14:paraId="2512011A" w14:textId="77777777">
        <w:trPr>
          <w:trHeight w:val="284"/>
        </w:trPr>
        <w:tc>
          <w:tcPr>
            <w:tcW w:w="10491" w:type="dxa"/>
            <w:gridSpan w:val="3"/>
            <w:tcMar/>
            <w:vAlign w:val="center"/>
          </w:tcPr>
          <w:p w:rsidRPr="00C02345" w:rsidR="003F659E" w:rsidP="544C3BD0" w:rsidRDefault="003F659E" w14:paraId="27FC399B" w14:textId="251806F9">
            <w:pPr>
              <w:tabs>
                <w:tab w:val="left" w:pos="2715"/>
              </w:tabs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</w:pPr>
            <w:r w:rsidRPr="544C3BD0" w:rsidR="003F659E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Bibliografie</w:t>
            </w:r>
            <w:r w:rsidRPr="544C3BD0" w:rsidR="584663E6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:</w:t>
            </w:r>
          </w:p>
          <w:p w:rsidRPr="00C02345" w:rsidR="003F659E" w:rsidP="544C3BD0" w:rsidRDefault="003F659E" w14:paraId="091F0C31" w14:textId="455E7C3D">
            <w:pPr>
              <w:tabs>
                <w:tab w:val="left" w:pos="2715"/>
              </w:tabs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544C3BD0" w:rsidR="7754841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</w:t>
            </w:r>
            <w:r w:rsidRPr="544C3BD0" w:rsidR="77548419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itmuss</w:t>
            </w:r>
            <w:r w:rsidRPr="544C3BD0" w:rsidR="3C3F8D77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, Richard</w:t>
            </w:r>
            <w:r w:rsidRPr="544C3BD0" w:rsidR="77548419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(967). Universalis</w:t>
            </w:r>
            <w:r w:rsidRPr="544C3BD0" w:rsidR="77548419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m versus </w:t>
            </w:r>
            <w:r w:rsidRPr="544C3BD0" w:rsidR="77548419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selection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[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Universalism sau selectivitate]. (selecţii din prelegerea lui R. Titmuss la Conferinţa Naţională a Bunăstării Sociale, Londra, Aprilie 1967.</w:t>
            </w:r>
          </w:p>
          <w:p w:rsidRPr="00C02345" w:rsidR="003F659E" w:rsidP="544C3BD0" w:rsidRDefault="003F659E" w14:paraId="3F65E3FE" w14:textId="013E551D">
            <w:pPr>
              <w:tabs>
                <w:tab w:val="left" w:pos="2715"/>
              </w:tabs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Esping-Andersen, Gosta (1990): </w:t>
            </w:r>
            <w:r w:rsidRPr="544C3BD0" w:rsidR="3C2D85C1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The Three Worlds of Welfare Capitalism, 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Cambridge: Polity Press.</w:t>
            </w:r>
          </w:p>
          <w:p w:rsidRPr="00C02345" w:rsidR="003F659E" w:rsidP="544C3BD0" w:rsidRDefault="003F659E" w14:paraId="1DAEB5D0" w14:textId="03218AC1">
            <w:pPr>
              <w:tabs>
                <w:tab w:val="left" w:pos="2715"/>
              </w:tabs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Popescu, Livia (2004): </w:t>
            </w:r>
            <w:r w:rsidRPr="544C3BD0" w:rsidR="3C2D85C1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Protecţia socială în Uniunea Europeană. 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Cluj-Napoca: Presa Univ. Clujeană.</w:t>
            </w:r>
          </w:p>
          <w:p w:rsidRPr="00C02345" w:rsidR="003F659E" w:rsidP="544C3BD0" w:rsidRDefault="003F659E" w14:paraId="41477628" w14:textId="46412F22">
            <w:pPr>
              <w:tabs>
                <w:tab w:val="left" w:pos="2715"/>
              </w:tabs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Standing, Guy (2007). Labour recommodification in the global transformation. In </w:t>
            </w:r>
            <w:r w:rsidRPr="544C3BD0" w:rsidR="3C2D85C1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>Reading Karl Polanyi for the 21</w:t>
            </w:r>
            <w:r w:rsidRPr="544C3BD0" w:rsidR="3C2D85C1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vertAlign w:val="superscript"/>
                <w:lang w:val="en-US"/>
              </w:rPr>
              <w:t>st</w:t>
            </w:r>
            <w:r w:rsidRPr="544C3BD0" w:rsidR="3C2D85C1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 Century, 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edited by Ayshe Bugra and Kan 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Agatan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, 67-95</w:t>
            </w:r>
            <w:r w:rsidRPr="544C3BD0" w:rsidR="3C2D85C1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. 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Basingstoke: Palgrave Macmillan.</w:t>
            </w:r>
          </w:p>
          <w:p w:rsidRPr="00C02345" w:rsidR="003F659E" w:rsidP="544C3BD0" w:rsidRDefault="003F659E" w14:paraId="0A2DBF23" w14:textId="7F4B87DE">
            <w:pPr>
              <w:tabs>
                <w:tab w:val="left" w:pos="2715"/>
              </w:tabs>
              <w:spacing w:after="0" w:afterAutospacing="off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Popescu, Livia (2004). </w:t>
            </w:r>
            <w:r w:rsidRPr="544C3BD0" w:rsidR="3C2D85C1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Politici sociale est-europene între paternalism de stat și responsabilitate individuală. 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Cluj: Presa Universitară Clujeană.</w:t>
            </w:r>
          </w:p>
          <w:p w:rsidRPr="00C02345" w:rsidR="003F659E" w:rsidP="544C3BD0" w:rsidRDefault="003F659E" w14:paraId="5A98E7ED" w14:textId="650F64C5">
            <w:pPr>
              <w:tabs>
                <w:tab w:val="left" w:pos="2715"/>
              </w:tabs>
              <w:spacing w:after="0" w:afterAutospacing="off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Raț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, </w:t>
            </w:r>
            <w:r w:rsidRPr="544C3BD0" w:rsidR="7C5F6BC5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Cristina, 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Livia Popescu, and Valentina Ivan (2019). The Romanian Welfare System. From the Shadow of Equality to the Dazzle of 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Dualisation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. In 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S.Blum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, 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J.Kuhlmann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, 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K.Schubert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(eds.) </w:t>
            </w:r>
            <w:r w:rsidRPr="544C3BD0" w:rsidR="3C2D85C1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Handbook of European Welfare Systems. </w:t>
            </w:r>
            <w:r w:rsidRPr="544C3BD0" w:rsidR="3C2D85C1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London: Routledge, pp. 445-465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.</w:t>
            </w:r>
          </w:p>
          <w:p w:rsidRPr="00C02345" w:rsidR="003F659E" w:rsidP="544C3BD0" w:rsidRDefault="003F659E" w14:paraId="32E967B9" w14:textId="62EC5923">
            <w:pPr>
              <w:spacing w:before="0" w:beforeAutospacing="off" w:after="0" w:afterAutospacing="off" w:line="257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Comisia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Europeană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(2024). </w:t>
            </w:r>
            <w:r w:rsidRPr="544C3BD0" w:rsidR="2B3C9D0C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>The 2024 Pension Adequacy Report. Volume II. Romania country study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, pp. 255-267.</w:t>
            </w:r>
          </w:p>
          <w:p w:rsidRPr="00C02345" w:rsidR="003F659E" w:rsidP="544C3BD0" w:rsidRDefault="003F659E" w14:paraId="1638BCE3" w14:textId="417D5432">
            <w:pPr>
              <w:spacing w:before="0" w:beforeAutospacing="off" w:after="0" w:afterAutospacing="off" w:line="257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Calipolitis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, O. (2024). </w:t>
            </w:r>
            <w:r w:rsidRPr="544C3BD0" w:rsidR="2B3C9D0C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Analiza </w:t>
            </w:r>
            <w:r w:rsidRPr="544C3BD0" w:rsidR="2B3C9D0C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>evoluției</w:t>
            </w:r>
            <w:r w:rsidRPr="544C3BD0" w:rsidR="2B3C9D0C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44C3BD0" w:rsidR="2B3C9D0C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>pensiilor</w:t>
            </w:r>
            <w:r w:rsidRPr="544C3BD0" w:rsidR="2B3C9D0C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44C3BD0" w:rsidR="2B3C9D0C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>în</w:t>
            </w:r>
            <w:r w:rsidRPr="544C3BD0" w:rsidR="2B3C9D0C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44C3BD0" w:rsidR="2B3C9D0C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>România</w:t>
            </w:r>
            <w:r w:rsidRPr="544C3BD0" w:rsidR="2B3C9D0C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44C3BD0" w:rsidR="2B3C9D0C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>în</w:t>
            </w:r>
            <w:r w:rsidRPr="544C3BD0" w:rsidR="2B3C9D0C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 2022-2023.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Consiliul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Național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al 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Organizațiilor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de 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Pensionari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și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al 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Persoanelor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Vârstnice</w:t>
            </w:r>
            <w:r w:rsidRPr="544C3BD0" w:rsidR="2B3C9D0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.</w:t>
            </w:r>
          </w:p>
          <w:p w:rsidRPr="00C02345" w:rsidR="003F659E" w:rsidP="544C3BD0" w:rsidRDefault="003F659E" w14:paraId="2B88E906" w14:textId="0173F3EB">
            <w:pPr>
              <w:tabs>
                <w:tab w:val="left" w:pos="2715"/>
              </w:tabs>
              <w:spacing w:after="0" w:afterAutospacing="off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544C3BD0" w:rsidR="1B6F5E69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Preda, Ma</w:t>
            </w:r>
            <w:r w:rsidRPr="544C3BD0" w:rsidR="1B6F5E69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rian (ed.) (2009). </w:t>
            </w:r>
            <w:r w:rsidRPr="544C3BD0" w:rsidR="1B6F5E69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Riscuri şi inechităţi sociale în România. </w:t>
            </w:r>
            <w:r w:rsidRPr="544C3BD0" w:rsidR="1B6F5E69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Bucureşti: Administraţia Prezidenţială. Cap. III.4 Sistemul de pensii din România, pp. 83-94.</w:t>
            </w:r>
          </w:p>
          <w:p w:rsidRPr="00C02345" w:rsidR="003F659E" w:rsidP="544C3BD0" w:rsidRDefault="003F659E" w14:paraId="535E9375" w14:textId="01E4E2D6">
            <w:pPr>
              <w:spacing w:before="0" w:beforeAutospacing="off" w:after="0" w:afterAutospacing="off" w:line="257" w:lineRule="auto"/>
              <w:rPr>
                <w:rFonts w:ascii="Cambria" w:hAnsi="Cambria" w:eastAsia="Cambria" w:cs="Cambria"/>
                <w:i w:val="0"/>
                <w:iCs w:val="0"/>
                <w:noProof w:val="0"/>
                <w:sz w:val="20"/>
                <w:szCs w:val="20"/>
                <w:lang w:val="ro"/>
              </w:rPr>
            </w:pPr>
            <w:r w:rsidRPr="544C3BD0" w:rsidR="27C52CD9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Guga, Ştefan (2016). </w:t>
            </w:r>
            <w:r w:rsidRPr="544C3BD0" w:rsidR="27C52CD9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Munca atipică în România de la izbucnirea crizei. O perspectivă de ansamblu. </w:t>
            </w:r>
            <w:r w:rsidRPr="544C3BD0" w:rsidR="27C52CD9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Bucureşti: Next Publishing.</w:t>
            </w:r>
            <w:r>
              <w:br/>
            </w:r>
            <w:r w:rsidRPr="544C3BD0" w:rsidR="27C52CD9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Ministerul Muncii (2024). </w:t>
            </w:r>
            <w:r w:rsidRPr="544C3BD0" w:rsidR="27C52CD9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Buletin statistic - Ocuparea, șomajul și protecția socială a șomerilor. </w:t>
            </w:r>
            <w:r>
              <w:br/>
            </w:r>
            <w:r w:rsidRPr="544C3BD0" w:rsidR="27C52CD9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Guvernul României (2022). Strategia Naţională pentru Ocuparea Forţei de Muncă, 2021-2027.</w:t>
            </w:r>
            <w:r>
              <w:br/>
            </w:r>
            <w:r w:rsidRPr="544C3BD0" w:rsidR="27C52CD9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European Commission (2024). </w:t>
            </w:r>
            <w:r w:rsidRPr="544C3BD0" w:rsidR="27C52CD9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European Semester. Labour market and wage developments. </w:t>
            </w:r>
            <w:r w:rsidRPr="544C3BD0" w:rsidR="27C52CD9">
              <w:rPr>
                <w:rFonts w:ascii="Cambria" w:hAnsi="Cambria" w:eastAsia="Cambria" w:cs="Cambria"/>
                <w:i w:val="0"/>
                <w:iCs w:val="0"/>
                <w:noProof w:val="0"/>
                <w:sz w:val="20"/>
                <w:szCs w:val="20"/>
                <w:lang w:val="ro"/>
              </w:rPr>
              <w:t>Brussels: the EU.</w:t>
            </w:r>
          </w:p>
          <w:p w:rsidRPr="00C02345" w:rsidR="003F659E" w:rsidP="544C3BD0" w:rsidRDefault="003F659E" w14:paraId="14E936C5" w14:textId="1308A8D0">
            <w:pPr>
              <w:spacing w:before="0" w:beforeAutospacing="off" w:after="0" w:afterAutospacing="off" w:line="257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T.Rotariu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și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V. 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Voineagu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(eds.) (2012): 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Inerție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și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schimbare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. 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Iași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, 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Polirom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. 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Capitolul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4.3 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și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Capitolul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6. SAU:</w:t>
            </w:r>
            <w:r>
              <w:br/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Szikra, D. and 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Raț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, C. (2015): Family policies and social inequalities in Central and Eastern Europe. In 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Roostgaard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, T. and Eydal, G.B. (eds.) </w:t>
            </w:r>
            <w:r w:rsidRPr="544C3BD0" w:rsidR="0C316518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Handbook of Child and Family Policy, </w:t>
            </w:r>
            <w:r w:rsidRPr="544C3BD0" w:rsidR="0C316518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Edward Elgar.</w:t>
            </w:r>
          </w:p>
          <w:p w:rsidRPr="00C02345" w:rsidR="003F659E" w:rsidP="544C3BD0" w:rsidRDefault="003F659E" w14:paraId="5EE42693" w14:textId="27CEF75F">
            <w:pPr>
              <w:spacing w:before="0" w:beforeAutospacing="off" w:after="0" w:afterAutospacing="off" w:line="257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544C3BD0" w:rsidR="794BBB92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Lister, Ruth (2004). </w:t>
            </w:r>
            <w:r w:rsidRPr="544C3BD0" w:rsidR="794BBB92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Poverty. </w:t>
            </w:r>
            <w:r w:rsidRPr="544C3BD0" w:rsidR="794BBB92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Cambridge: Polity Press, </w:t>
            </w:r>
            <w:r w:rsidRPr="544C3BD0" w:rsidR="794BBB92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Introduction, </w:t>
            </w:r>
            <w:r w:rsidRPr="544C3BD0" w:rsidR="794BBB92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pp.1-11.</w:t>
            </w:r>
            <w:r>
              <w:br/>
            </w:r>
            <w:r w:rsidRPr="544C3BD0" w:rsidR="794BBB92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Stănculescu, Manuela (2003). Munca invizibilă a săracilor din zonele sărace. În I.Berevoescu și M.Stănculescu (eds.) </w:t>
            </w:r>
            <w:r w:rsidRPr="544C3BD0" w:rsidR="794BBB92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Sărac lipit, caut altă viață. </w:t>
            </w:r>
            <w:r w:rsidRPr="544C3BD0" w:rsidR="794BBB92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București: Nemira, pp. 184-235.</w:t>
            </w:r>
          </w:p>
          <w:p w:rsidRPr="00C02345" w:rsidR="003F659E" w:rsidP="544C3BD0" w:rsidRDefault="003F659E" w14:paraId="77FD06CF" w14:textId="7FBBA4F1">
            <w:pPr>
              <w:spacing w:before="0" w:beforeAutospacing="off" w:after="0" w:afterAutospacing="off" w:line="257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544C3BD0" w:rsidR="794BBB92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Teșliuc, E., Grigoraș, V. și Stănculescu, M. (eds.) (2015). </w:t>
            </w:r>
            <w:r w:rsidRPr="544C3BD0" w:rsidR="794BBB92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>Studiu de fundamentare pentru Strategia națională privind incluziunea socială și reducerea sărăciei 2015-2020.</w:t>
            </w:r>
            <w:r w:rsidRPr="544C3BD0" w:rsidR="794BBB92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 București: Banca Mondială (mai ales pp. 29-53).</w:t>
            </w:r>
            <w:r>
              <w:br/>
            </w:r>
            <w:r w:rsidRPr="544C3BD0" w:rsidR="12B5EBAB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Vincze, Enik</w:t>
            </w:r>
            <w:r w:rsidRPr="544C3BD0" w:rsidR="12B5EBAB">
              <w:rPr>
                <w:rFonts w:ascii="Cambria" w:hAnsi="Cambria" w:eastAsia="Cambria" w:cs="Cambria"/>
                <w:noProof w:val="0"/>
                <w:sz w:val="20"/>
                <w:szCs w:val="20"/>
                <w:lang w:val="hu"/>
              </w:rPr>
              <w:t xml:space="preserve">ő, Cornel Ban, Sorin Gog, and </w:t>
            </w:r>
            <w:r w:rsidRPr="544C3BD0" w:rsidR="12B5EBAB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Jon Horgen Friberg. 2025. </w:t>
            </w:r>
            <w:r w:rsidRPr="544C3BD0" w:rsidR="12B5EBAB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The Political Economy of Extreme Poverty in Eastern Europe. </w:t>
            </w:r>
            <w:r w:rsidRPr="544C3BD0" w:rsidR="12B5EBAB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London: Routledge.</w:t>
            </w:r>
          </w:p>
          <w:p w:rsidRPr="00C02345" w:rsidR="003F659E" w:rsidP="544C3BD0" w:rsidRDefault="003F659E" w14:paraId="0E69568E" w14:textId="70D41928">
            <w:pPr>
              <w:spacing w:before="0" w:beforeAutospacing="off" w:after="0" w:afterAutospacing="off" w:line="257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544C3BD0" w:rsidR="794BBB92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Raț, C. (2012). Sărăcie și marginalizare socială în rândul familiilor cu copii. În T.Rotariu și V. Voineagu (eds.) </w:t>
            </w:r>
            <w:r w:rsidRPr="544C3BD0" w:rsidR="794BBB92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Inerție și schimbare. </w:t>
            </w:r>
            <w:r w:rsidRPr="544C3BD0" w:rsidR="794BBB92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Iași: Polirom, pp. 179-197.</w:t>
            </w:r>
            <w:r>
              <w:br/>
            </w:r>
            <w:r w:rsidRPr="544C3BD0" w:rsidR="47D2C5B5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Țoc, S. and Buligescu, B. (2020). Impactul politicii de acordare a ajutorului social pentru asigurarea venitului minim garantat asupra reducerii sărăciei în România. </w:t>
            </w:r>
            <w:r w:rsidRPr="544C3BD0" w:rsidR="47D2C5B5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>Sociologie românească</w:t>
            </w:r>
            <w:r w:rsidRPr="544C3BD0" w:rsidR="47D2C5B5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, 18(1): 63-88.</w:t>
            </w:r>
          </w:p>
          <w:p w:rsidRPr="00C02345" w:rsidR="003F659E" w:rsidP="544C3BD0" w:rsidRDefault="003F659E" w14:paraId="72B72685" w14:textId="48633868">
            <w:pPr>
              <w:spacing w:before="0" w:beforeAutospacing="off" w:after="0" w:afterAutospacing="off" w:line="257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544C3BD0" w:rsidR="2F7A8EFD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Ciornei, Carmen-Marcela (2017). </w:t>
            </w:r>
            <w:r w:rsidRPr="544C3BD0" w:rsidR="2F7A8EFD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Analiza politicilor sociale de garantare a venitului minim și de combatere a sărăciei în România 1997-2013. </w:t>
            </w:r>
            <w:r w:rsidRPr="544C3BD0" w:rsidR="2F7A8EFD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Cluj-Napoca: Presa Universitară Clujeană.</w:t>
            </w:r>
            <w:r>
              <w:br/>
            </w:r>
            <w:r w:rsidRPr="544C3BD0" w:rsidR="47D2C5B5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Adăscăliței, D., Raț, C., Spătari, M. (2020). </w:t>
            </w:r>
            <w:r w:rsidRPr="544C3BD0" w:rsidR="47D2C5B5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Îmbunătățirea protecției sociale în România. </w:t>
            </w:r>
            <w:r w:rsidRPr="544C3BD0" w:rsidR="47D2C5B5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București: Friedrich Ebert Stiftung.</w:t>
            </w:r>
          </w:p>
          <w:p w:rsidRPr="00C02345" w:rsidR="003F659E" w:rsidP="544C3BD0" w:rsidRDefault="003F659E" w14:paraId="73EF6FCC" w14:textId="429E47B9">
            <w:pPr>
              <w:spacing w:before="0" w:beforeAutospacing="off" w:after="0" w:afterAutospacing="off" w:line="257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544C3BD0" w:rsidR="47D2C5B5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FEANTSA (2024). </w:t>
            </w:r>
            <w:r w:rsidRPr="544C3BD0" w:rsidR="47D2C5B5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Housing exclusion in Romania. </w:t>
            </w:r>
            <w:r w:rsidRPr="544C3BD0" w:rsidR="47D2C5B5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Brussels: FEANTSA.</w:t>
            </w:r>
            <w:r>
              <w:br/>
            </w:r>
            <w:r w:rsidRPr="544C3BD0" w:rsidR="47D2C5B5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Blocul Național pentru Locuire (2020). Raport împotriva exploatării muncii și deprivării locative 2019 - Raport de proiect. </w:t>
            </w:r>
            <w:r w:rsidRPr="544C3BD0" w:rsidR="47D2C5B5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Cercetare realizată cu sprijinul Rosa Luxembourg Stiftung. </w:t>
            </w:r>
            <w:r>
              <w:br/>
            </w:r>
            <w:r w:rsidRPr="544C3BD0" w:rsidR="47D2C5B5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Cristina Raț (2018). Social Citizenship at the Margins. In Vincze, Eniko, Petrovici, Norbert, Rat, Cristina, Picker, Giovanni (eds.) </w:t>
            </w:r>
            <w:r w:rsidRPr="544C3BD0" w:rsidR="47D2C5B5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>Racialized Labour in Romania. Spaces of Marginality at the Periphery of Global Capitalism</w:t>
            </w:r>
            <w:r w:rsidRPr="544C3BD0" w:rsidR="47D2C5B5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, Ed. Palgrave Macmillan, pp. 97-123.</w:t>
            </w:r>
            <w:r>
              <w:br/>
            </w:r>
            <w:r w:rsidRPr="544C3BD0" w:rsidR="47D2C5B5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Guvernul României, Ministerul Mediului (2017). </w:t>
            </w:r>
            <w:r w:rsidRPr="544C3BD0" w:rsidR="47D2C5B5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Strategia națională a locuirii 2017-2020. </w:t>
            </w:r>
            <w:r w:rsidRPr="544C3BD0" w:rsidR="47D2C5B5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București: Min.Mediului.</w:t>
            </w:r>
          </w:p>
          <w:p w:rsidRPr="00C02345" w:rsidR="003F659E" w:rsidP="544C3BD0" w:rsidRDefault="003F659E" w14:paraId="328C88D9" w14:textId="793C72F9">
            <w:pPr>
              <w:spacing w:before="0" w:beforeAutospacing="off" w:after="0" w:afterAutospacing="off" w:line="257" w:lineRule="auto"/>
              <w:rPr>
                <w:rFonts w:ascii="Cambria" w:hAnsi="Cambria" w:eastAsia="Cambria" w:cs="Cambria"/>
                <w:b w:val="0"/>
                <w:bCs w:val="0"/>
                <w:noProof w:val="0"/>
                <w:sz w:val="20"/>
                <w:szCs w:val="20"/>
                <w:lang w:val="ro"/>
              </w:rPr>
            </w:pPr>
            <w:r w:rsidRPr="544C3BD0" w:rsidR="1077477F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Mariana Stanciu (2013). Sistemul public de servicii medicale din România în context european. </w:t>
            </w:r>
            <w:r w:rsidRPr="544C3BD0" w:rsidR="1077477F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Calitatea vieții, </w:t>
            </w:r>
            <w:r w:rsidRPr="544C3BD0" w:rsidR="1077477F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vol. XXIV, no. 1, pp. 47-80.</w:t>
            </w:r>
            <w:r>
              <w:br/>
            </w:r>
            <w:r w:rsidRPr="544C3BD0" w:rsidR="1077477F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European Observatory on Health Systems and Policies and the OECD (2024). </w:t>
            </w:r>
            <w:r w:rsidRPr="544C3BD0" w:rsidR="1077477F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State of Health in the EU: Romania. Profilul de țară din 2023 în ceea ce privește sănătatea. </w:t>
            </w:r>
            <w:r w:rsidRPr="544C3BD0" w:rsidR="1077477F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Brussels: the EU.</w:t>
            </w:r>
          </w:p>
          <w:p w:rsidRPr="00C02345" w:rsidR="003F659E" w:rsidP="544C3BD0" w:rsidRDefault="003F659E" w14:paraId="65706CFD" w14:textId="1079F776">
            <w:pPr>
              <w:spacing w:before="0" w:beforeAutospacing="off" w:after="0" w:afterAutospacing="off" w:line="257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544C3BD0" w:rsidR="4417C120">
              <w:rPr>
                <w:rFonts w:ascii="Cambria" w:hAnsi="Cambria" w:eastAsia="Cambria" w:cs="Cambria"/>
                <w:b w:val="0"/>
                <w:bCs w:val="0"/>
                <w:noProof w:val="0"/>
                <w:sz w:val="20"/>
                <w:szCs w:val="20"/>
                <w:lang w:val="ro"/>
              </w:rPr>
              <w:t xml:space="preserve">Guvernul României (2022). </w:t>
            </w:r>
            <w:r w:rsidRPr="544C3BD0" w:rsidR="4417C12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Strategia națională pentru protecția persoanelor cu dizabilități "O Românie echitabilă" 2022-2027 </w:t>
            </w:r>
            <w:r w:rsidRPr="544C3BD0" w:rsidR="4417C120">
              <w:rPr>
                <w:rFonts w:ascii="Cambria" w:hAnsi="Cambria" w:eastAsia="Cambria" w:cs="Cambria"/>
                <w:b w:val="0"/>
                <w:bCs w:val="0"/>
                <w:noProof w:val="0"/>
                <w:sz w:val="20"/>
                <w:szCs w:val="20"/>
                <w:lang w:val="ro"/>
              </w:rPr>
              <w:t xml:space="preserve">(2022). Strategia a fost adoptată de Guvernul României și publicată în Mon.Of. din 15.04.2022.  </w:t>
            </w:r>
            <w:r>
              <w:br/>
            </w:r>
            <w:r w:rsidRPr="544C3BD0" w:rsidR="4417C120">
              <w:rPr>
                <w:rFonts w:ascii="Cambria" w:hAnsi="Cambria" w:eastAsia="Cambria" w:cs="Cambria"/>
                <w:b w:val="0"/>
                <w:bCs w:val="0"/>
                <w:noProof w:val="0"/>
                <w:sz w:val="20"/>
                <w:szCs w:val="20"/>
                <w:lang w:val="ro"/>
              </w:rPr>
              <w:t xml:space="preserve">Grigoraș, Vlad, Salazar, M., Vladu, C.I. și Briciu, C. (2021). </w:t>
            </w:r>
            <w:r w:rsidRPr="544C3BD0" w:rsidR="4417C12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noProof w:val="0"/>
                <w:sz w:val="20"/>
                <w:szCs w:val="20"/>
                <w:lang w:val="ro"/>
              </w:rPr>
              <w:t xml:space="preserve">Diagnoza situației persoanelor cu dizabilități în România. </w:t>
            </w:r>
            <w:r w:rsidRPr="544C3BD0" w:rsidR="4417C120">
              <w:rPr>
                <w:rFonts w:ascii="Cambria" w:hAnsi="Cambria" w:eastAsia="Cambria" w:cs="Cambria"/>
                <w:b w:val="0"/>
                <w:bCs w:val="0"/>
                <w:noProof w:val="0"/>
                <w:sz w:val="20"/>
                <w:szCs w:val="20"/>
                <w:lang w:val="ro"/>
              </w:rPr>
              <w:t>București: Autoritatea Națională pentru Drepturile Persoanelor cu Dizabilități, Copii și Adopții și Banca Mondială.</w:t>
            </w:r>
          </w:p>
        </w:tc>
      </w:tr>
    </w:tbl>
    <w:p w:rsidR="544C3BD0" w:rsidP="544C3BD0" w:rsidRDefault="544C3BD0" w14:paraId="516EE918" w14:textId="096BE3DF">
      <w:pPr>
        <w:spacing w:after="0" w:line="240" w:lineRule="auto"/>
        <w:ind w:left="-426"/>
        <w:rPr>
          <w:rFonts w:ascii="Cambria" w:hAnsi="Cambria"/>
          <w:b w:val="1"/>
          <w:bCs w:val="1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544C3BD0" w14:paraId="697653B0" w14:textId="77777777">
        <w:trPr>
          <w:trHeight w:val="2869"/>
        </w:trPr>
        <w:tc>
          <w:tcPr>
            <w:tcW w:w="10491" w:type="dxa"/>
            <w:tcMar/>
          </w:tcPr>
          <w:p w:rsidRPr="002E4459" w:rsidR="0084568F" w:rsidP="544C3BD0" w:rsidRDefault="0084568F" w14:paraId="2B940AFD" w14:textId="77892442">
            <w:pPr>
              <w:pStyle w:val="Normal"/>
              <w:spacing w:before="120" w:after="0" w:line="240" w:lineRule="auto"/>
              <w:ind w:left="0" w:hanging="0"/>
              <w:rPr>
                <w:rFonts w:ascii="Cambria" w:hAnsi="Cambria"/>
                <w:sz w:val="20"/>
                <w:szCs w:val="20"/>
              </w:rPr>
            </w:pPr>
            <w:r w:rsidRPr="544C3BD0" w:rsidR="6EE0DDF2">
              <w:rPr>
                <w:rFonts w:ascii="Cambria" w:hAnsi="Cambria"/>
                <w:sz w:val="20"/>
                <w:szCs w:val="20"/>
              </w:rPr>
              <w:t>Conținutul disciplinei este coroborat cu așteptării comunității de cercetători și practici</w:t>
            </w:r>
            <w:r w:rsidRPr="544C3BD0" w:rsidR="0B29D77E">
              <w:rPr>
                <w:rFonts w:ascii="Cambria" w:hAnsi="Cambria"/>
                <w:sz w:val="20"/>
                <w:szCs w:val="20"/>
              </w:rPr>
              <w:t xml:space="preserve">eni în domeniul politicilor sociale, abordând printre altele strategii, planuri de acțiune, directive și recomandări europene de politică </w:t>
            </w:r>
            <w:r w:rsidRPr="544C3BD0" w:rsidR="1845AAC9">
              <w:rPr>
                <w:rFonts w:ascii="Cambria" w:hAnsi="Cambria"/>
                <w:sz w:val="20"/>
                <w:szCs w:val="20"/>
              </w:rPr>
              <w:t xml:space="preserve">socială, dar și legislația națională în acest domeniu. </w:t>
            </w: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 w:rsidRPr="544C3BD0" w:rsidR="0084568F">
        <w:rPr>
          <w:rFonts w:ascii="Cambria" w:hAnsi="Cambria"/>
          <w:b w:val="1"/>
          <w:bCs w:val="1"/>
          <w:sz w:val="20"/>
          <w:szCs w:val="20"/>
        </w:rPr>
        <w:t>10</w:t>
      </w:r>
      <w:r w:rsidRPr="544C3BD0" w:rsidR="0084568F">
        <w:rPr>
          <w:rFonts w:ascii="Cambria" w:hAnsi="Cambria"/>
          <w:b w:val="1"/>
          <w:bCs w:val="1"/>
          <w:sz w:val="20"/>
          <w:szCs w:val="20"/>
        </w:rPr>
        <w:t xml:space="preserve">. </w:t>
      </w:r>
      <w:r w:rsidRPr="544C3BD0" w:rsidR="0084568F">
        <w:rPr>
          <w:rFonts w:ascii="Cambria" w:hAnsi="Cambria"/>
          <w:b w:val="1"/>
          <w:bCs w:val="1"/>
          <w:sz w:val="20"/>
          <w:szCs w:val="20"/>
        </w:rPr>
        <w:t>Evaluare</w:t>
      </w:r>
    </w:p>
    <w:tbl>
      <w:tblPr>
        <w:tblStyle w:val="TabelNormal"/>
        <w:bidiVisual w:val="0"/>
        <w:tblW w:w="0" w:type="auto"/>
        <w:tblLayout w:type="fixed"/>
        <w:tblLook w:val="01E0" w:firstRow="1" w:lastRow="1" w:firstColumn="1" w:lastColumn="1" w:noHBand="0" w:noVBand="0"/>
      </w:tblPr>
      <w:tblGrid>
        <w:gridCol w:w="1555"/>
        <w:gridCol w:w="3825"/>
        <w:gridCol w:w="2905"/>
        <w:gridCol w:w="2171"/>
      </w:tblGrid>
      <w:tr w:rsidR="544C3BD0" w:rsidTr="544C3BD0" w14:paraId="3609FE59">
        <w:trPr>
          <w:trHeight w:val="300"/>
        </w:trPr>
        <w:tc>
          <w:tcPr>
            <w:tcW w:w="15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44C3BD0" w:rsidP="544C3BD0" w:rsidRDefault="544C3BD0" w14:paraId="0AADF64A" w14:textId="48307E6B">
            <w:pPr>
              <w:spacing w:before="0" w:beforeAutospacing="off" w:after="0" w:afterAutospacing="off"/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  <w:t>Tip activitate</w:t>
            </w:r>
          </w:p>
        </w:tc>
        <w:tc>
          <w:tcPr>
            <w:tcW w:w="3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44C3BD0" w:rsidP="544C3BD0" w:rsidRDefault="544C3BD0" w14:paraId="648CF864" w14:textId="64EF54E4">
            <w:pPr>
              <w:spacing w:before="0" w:beforeAutospacing="off" w:after="0" w:afterAutospacing="off"/>
              <w:ind w:left="46" w:right="-154"/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  <w:t>10.1 Criterii de evaluare</w:t>
            </w:r>
          </w:p>
        </w:tc>
        <w:tc>
          <w:tcPr>
            <w:tcW w:w="2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44C3BD0" w:rsidP="544C3BD0" w:rsidRDefault="544C3BD0" w14:paraId="4BB0D666" w14:textId="50066807">
            <w:pPr>
              <w:spacing w:before="0" w:beforeAutospacing="off" w:after="0" w:afterAutospacing="off"/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  <w:t>10.2 Metode de evaluare</w:t>
            </w:r>
          </w:p>
        </w:tc>
        <w:tc>
          <w:tcPr>
            <w:tcW w:w="217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44C3BD0" w:rsidP="544C3BD0" w:rsidRDefault="544C3BD0" w14:paraId="3F045408" w14:textId="0DAE02B0">
            <w:pPr>
              <w:spacing w:before="0" w:beforeAutospacing="off" w:after="0" w:afterAutospacing="off"/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  <w:t>10.3 Pondere din nota finală</w:t>
            </w:r>
          </w:p>
        </w:tc>
      </w:tr>
      <w:tr w:rsidR="544C3BD0" w:rsidTr="544C3BD0" w14:paraId="4EA4007D">
        <w:trPr>
          <w:trHeight w:val="555"/>
        </w:trPr>
        <w:tc>
          <w:tcPr>
            <w:tcW w:w="15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44C3BD0" w:rsidP="544C3BD0" w:rsidRDefault="544C3BD0" w14:paraId="5EAB9ADB" w14:textId="584EF8BB">
            <w:pPr>
              <w:spacing w:before="0" w:beforeAutospacing="off" w:after="0" w:afterAutospacing="off"/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  <w:t>10.4 Curs</w:t>
            </w:r>
          </w:p>
        </w:tc>
        <w:tc>
          <w:tcPr>
            <w:tcW w:w="3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44C3BD0" w:rsidP="544C3BD0" w:rsidRDefault="544C3BD0" w14:paraId="3B2D66CE" w14:textId="3C623B7E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Însușirea conceptelor, abordărilor teoretice și metodologice în studiul stratificării sociale. </w:t>
            </w:r>
          </w:p>
        </w:tc>
        <w:tc>
          <w:tcPr>
            <w:tcW w:w="2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44C3BD0" w:rsidP="544C3BD0" w:rsidRDefault="544C3BD0" w14:paraId="39B35FD3" w14:textId="3101055F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Examen scris: </w:t>
            </w:r>
          </w:p>
          <w:p w:rsidR="544C3BD0" w:rsidP="544C3BD0" w:rsidRDefault="544C3BD0" w14:paraId="234297D0" w14:textId="3BD3F7AA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test grilă și întrebări deschise</w:t>
            </w:r>
          </w:p>
          <w:p w:rsidR="544C3BD0" w:rsidP="544C3BD0" w:rsidRDefault="544C3BD0" w14:paraId="5F8ECAEE" w14:textId="18138BD5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08836662" w14:textId="0FFA4583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Bonus: prezența activă la curs și răspunsuri la întrebările recapitulative 0.10p/ răspuns corect</w:t>
            </w:r>
          </w:p>
        </w:tc>
        <w:tc>
          <w:tcPr>
            <w:tcW w:w="217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44C3BD0" w:rsidP="544C3BD0" w:rsidRDefault="544C3BD0" w14:paraId="7435449B" w14:textId="3DE3110F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60%</w:t>
            </w:r>
          </w:p>
          <w:p w:rsidR="544C3BD0" w:rsidP="544C3BD0" w:rsidRDefault="544C3BD0" w14:paraId="6EC070B7" w14:textId="531ACA1D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35B88276" w14:textId="4ABE800B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56E65831" w14:textId="535E3043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Bonus-urile se adaugă doar în cazul studenților care au promovat examenul scris din sesiune.</w:t>
            </w:r>
          </w:p>
        </w:tc>
      </w:tr>
      <w:tr w:rsidR="544C3BD0" w:rsidTr="544C3BD0" w14:paraId="6E18B22D">
        <w:trPr>
          <w:trHeight w:val="555"/>
        </w:trPr>
        <w:tc>
          <w:tcPr>
            <w:tcW w:w="15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44C3BD0" w:rsidP="544C3BD0" w:rsidRDefault="544C3BD0" w14:paraId="689C348E" w14:textId="331462AB">
            <w:pPr>
              <w:spacing w:before="0" w:beforeAutospacing="off" w:after="0" w:afterAutospacing="off"/>
              <w:ind w:left="0" w:right="-150"/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  <w:t>10.5 Seminar</w:t>
            </w:r>
          </w:p>
        </w:tc>
        <w:tc>
          <w:tcPr>
            <w:tcW w:w="3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44C3BD0" w:rsidP="544C3BD0" w:rsidRDefault="544C3BD0" w14:paraId="4F818352" w14:textId="6A5C2C24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Participarea activă la seminarii prin prezentarea temelor redactate individual pe baza lecturii textelor obligatorii;</w:t>
            </w:r>
          </w:p>
          <w:p w:rsidR="544C3BD0" w:rsidP="544C3BD0" w:rsidRDefault="544C3BD0" w14:paraId="3357DF2F" w14:textId="70726C76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Aplicarea conceptelor, abordărilor teoretice și metodologice în studiul politicilor sociale pentru realizarea unei dezbateri tematice și a dosarului dezbaterii (max 3 studenți) </w:t>
            </w:r>
          </w:p>
        </w:tc>
        <w:tc>
          <w:tcPr>
            <w:tcW w:w="29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44C3BD0" w:rsidP="544C3BD0" w:rsidRDefault="544C3BD0" w14:paraId="42217E06" w14:textId="7027C826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Teme de seminar redactate individual și prezentate oral la seminar (0.25p/temă; sunt necesare 8 teme pentru punctajul maxim de 2p); </w:t>
            </w:r>
          </w:p>
          <w:p w:rsidR="544C3BD0" w:rsidP="544C3BD0" w:rsidRDefault="544C3BD0" w14:paraId="4256F675" w14:textId="79A19767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6AF6FB83" w14:textId="7EB84BD8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Temele realizate în plus și prezentate la seminar constituie bonus (0.25p/temă)</w:t>
            </w:r>
          </w:p>
          <w:p w:rsidR="544C3BD0" w:rsidP="544C3BD0" w:rsidRDefault="544C3BD0" w14:paraId="121A52CB" w14:textId="3F50BEB2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5034B125" w14:textId="1B9017A1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Realizarea unei dezbateri pe o temă de politică socială – participare orală și elaborarea dosarului dezbaterii (2p). </w:t>
            </w:r>
          </w:p>
          <w:p w:rsidR="544C3BD0" w:rsidP="544C3BD0" w:rsidRDefault="544C3BD0" w14:paraId="7364CADA" w14:textId="7EA0ACBA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06CFC253" w14:textId="5FB9DF95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Bonus: participare la prelegile on-line din cadrul Eutopia – Inequalities in contemporary societies - 0.25/ participare și redactare reaction paper</w:t>
            </w:r>
          </w:p>
        </w:tc>
        <w:tc>
          <w:tcPr>
            <w:tcW w:w="217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44C3BD0" w:rsidP="544C3BD0" w:rsidRDefault="544C3BD0" w14:paraId="43ADFDAA" w14:textId="4147560F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40% - din care:</w:t>
            </w:r>
          </w:p>
          <w:p w:rsidR="544C3BD0" w:rsidP="544C3BD0" w:rsidRDefault="544C3BD0" w14:paraId="65874D3F" w14:textId="7480223F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- 20% teme de seminar</w:t>
            </w:r>
          </w:p>
          <w:p w:rsidR="544C3BD0" w:rsidP="544C3BD0" w:rsidRDefault="544C3BD0" w14:paraId="3F35D53D" w14:textId="3A1034C9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- 20% dezbatere de seminar și realizarea dosarului dezbaterii</w:t>
            </w:r>
          </w:p>
          <w:p w:rsidR="544C3BD0" w:rsidP="544C3BD0" w:rsidRDefault="544C3BD0" w14:paraId="6053017D" w14:textId="221CD9D4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7D03C1F1" w14:textId="3078609A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6C6C2355" w14:textId="13A101EA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644B2082" w14:textId="4FD4B6AC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4238E132" w14:textId="3F3768B7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101F4E5F" w14:textId="7BBD877B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50516C27" w14:textId="661C1168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47015273" w14:textId="3E163CE8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2C726FCE" w14:textId="222D5F5E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4E47BC9E" w14:textId="7A90FE61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544C3BD0" w:rsidP="544C3BD0" w:rsidRDefault="544C3BD0" w14:paraId="021C3FA6" w14:textId="2DA23BDF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Bonus-urile se adaugă doar în cazul studenților care au promovat examenul scris din sesiune.</w:t>
            </w:r>
          </w:p>
        </w:tc>
      </w:tr>
      <w:tr w:rsidR="544C3BD0" w:rsidTr="544C3BD0" w14:paraId="3F73C040">
        <w:trPr>
          <w:trHeight w:val="630"/>
        </w:trPr>
        <w:tc>
          <w:tcPr>
            <w:tcW w:w="10456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44C3BD0" w:rsidP="544C3BD0" w:rsidRDefault="544C3BD0" w14:paraId="146973BE" w14:textId="443B0FDA">
            <w:pPr>
              <w:spacing w:before="0" w:beforeAutospacing="off" w:after="0" w:afterAutospacing="off"/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0"/>
                <w:szCs w:val="20"/>
                <w:lang w:val="ro"/>
              </w:rPr>
              <w:t xml:space="preserve">10.6 Standard minim de performanţă: </w:t>
            </w:r>
          </w:p>
          <w:p w:rsidR="544C3BD0" w:rsidP="544C3BD0" w:rsidRDefault="544C3BD0" w14:paraId="400F7D4B" w14:textId="5D5CD707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Punctaj minim de 5p la examenul scris din sesiune</w:t>
            </w:r>
          </w:p>
          <w:p w:rsidR="544C3BD0" w:rsidP="544C3BD0" w:rsidRDefault="544C3BD0" w14:paraId="6309E45F" w14:textId="62949466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544C3BD0" w:rsidR="544C3BD0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Punctaj minim total ponderat (60% examen scris și 40% activitate seminar) de 5p.</w:t>
            </w: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70"/>
        <w:gridCol w:w="1166"/>
        <w:gridCol w:w="1162"/>
        <w:gridCol w:w="1165"/>
        <w:gridCol w:w="1162"/>
        <w:gridCol w:w="1167"/>
        <w:gridCol w:w="1162"/>
        <w:gridCol w:w="1170"/>
        <w:gridCol w:w="1166"/>
      </w:tblGrid>
      <w:tr w:rsidRPr="00E027F6" w:rsidR="00CB66F3" w:rsidTr="544C3BD0" w14:paraId="11B37CCE" w14:textId="77777777">
        <w:trPr>
          <w:trHeight w:val="945"/>
        </w:trPr>
        <w:tc>
          <w:tcPr>
            <w:tcW w:w="1170" w:type="dxa"/>
            <w:tcMar/>
            <w:vAlign w:val="center"/>
          </w:tcPr>
          <w:p w:rsidRPr="00E027F6" w:rsidR="00CB66F3" w:rsidP="00373CCF" w:rsidRDefault="00CB66F3" w14:paraId="029BE597" w14:textId="73842309">
            <w:pPr>
              <w:rPr>
                <w:rFonts w:ascii="Cambria" w:hAnsi="Cambria"/>
              </w:rPr>
            </w:pPr>
            <w:r w:rsidR="521F7DD6">
              <w:drawing>
                <wp:inline wp14:editId="438AEFBE" wp14:anchorId="11014E79">
                  <wp:extent cx="615950" cy="611505"/>
                  <wp:effectExtent l="0" t="0" r="0" b="0"/>
                  <wp:docPr id="2101320081" name="Imagine 2">
                    <a:extLst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0" w:type="dxa"/>
            <w:gridSpan w:val="8"/>
            <w:tcMar/>
            <w:vAlign w:val="center"/>
          </w:tcPr>
          <w:p w:rsidRPr="00E027F6" w:rsidR="00CB66F3" w:rsidP="544C3BD0" w:rsidRDefault="00CB66F3" w14:paraId="08F8E255" w14:textId="150FAE79">
            <w:pPr>
              <w:rPr>
                <w:rFonts w:ascii="Cambria" w:hAnsi="Cambria"/>
              </w:rPr>
            </w:pPr>
            <w:r w:rsidRPr="544C3BD0" w:rsidR="3C481077">
              <w:rPr>
                <w:rFonts w:ascii="Cambria" w:hAnsi="Cambria"/>
              </w:rPr>
              <w:t>Eticheta generală pentru Dezvoltare durabilă</w:t>
            </w:r>
          </w:p>
          <w:p w:rsidRPr="00E027F6" w:rsidR="00CB66F3" w:rsidP="00373CCF" w:rsidRDefault="00CB66F3" w14:paraId="5741C871" w14:textId="59D2205F">
            <w:pPr>
              <w:rPr>
                <w:rFonts w:ascii="Cambria" w:hAnsi="Cambria"/>
              </w:rPr>
            </w:pPr>
          </w:p>
        </w:tc>
      </w:tr>
      <w:tr w:rsidRPr="00E027F6" w:rsidR="00CB66F3" w:rsidTr="544C3BD0" w14:paraId="3DEFB65F" w14:textId="77777777">
        <w:trPr>
          <w:trHeight w:val="1124"/>
        </w:trPr>
        <w:tc>
          <w:tcPr>
            <w:tcW w:w="1170" w:type="dxa"/>
            <w:tcMar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  <w:tcMar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Mar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  <w:tcMar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  <w:tcMar/>
            <w:vAlign w:val="center"/>
          </w:tcPr>
          <w:p w:rsidRPr="00E027F6" w:rsidR="001253AA" w:rsidP="00373CCF" w:rsidRDefault="001253AA" w14:paraId="7A69A711" w14:textId="7B3D9673">
            <w:pPr>
              <w:rPr>
                <w:rFonts w:ascii="Cambria" w:hAnsi="Cambria"/>
              </w:rPr>
            </w:pPr>
            <w:r w:rsidR="1EDB75AC">
              <w:drawing>
                <wp:inline wp14:editId="18890E34" wp14:anchorId="58E87345">
                  <wp:extent cx="587375" cy="611505"/>
                  <wp:effectExtent l="0" t="0" r="3175" b="0"/>
                  <wp:docPr id="440189878" name="Imagine 18" descr="O imagine care conține text, Font, captură de ecran, siglă&#10;&#10;Descriere generată automat">
                    <a:extLst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  <w:tcMar/>
            <w:vAlign w:val="center"/>
          </w:tcPr>
          <w:p w:rsidRPr="00E027F6" w:rsidR="001253AA" w:rsidP="00373CCF" w:rsidRDefault="001253AA" w14:paraId="423B32E2" w14:textId="33F8F3B6">
            <w:pPr>
              <w:rPr>
                <w:rFonts w:ascii="Cambria" w:hAnsi="Cambria"/>
              </w:rPr>
            </w:pPr>
            <w:r w:rsidR="1EDB75AC">
              <w:drawing>
                <wp:inline wp14:editId="36C1D636" wp14:anchorId="084406AA">
                  <wp:extent cx="599440" cy="611505"/>
                  <wp:effectExtent l="0" t="0" r="0" b="0"/>
                  <wp:docPr id="1817062873" name="Imagine 11" descr="O imagine care conține text, captură de ecran, Font, Grafică&#10;&#10;Descriere generată automat">
                    <a:extLst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Mar/>
            <w:vAlign w:val="center"/>
          </w:tcPr>
          <w:p w:rsidRPr="00E027F6" w:rsidR="001253AA" w:rsidP="00373CCF" w:rsidRDefault="001253AA" w14:paraId="741BDDBE" w14:textId="23A5AAB9">
            <w:pPr>
              <w:rPr>
                <w:rFonts w:ascii="Cambria" w:hAnsi="Cambria"/>
              </w:rPr>
            </w:pPr>
            <w:r w:rsidR="1EDB75AC">
              <w:drawing>
                <wp:inline wp14:editId="61569D2C" wp14:anchorId="135DAFF0">
                  <wp:extent cx="613410" cy="611505"/>
                  <wp:effectExtent l="0" t="0" r="0" b="0"/>
                  <wp:docPr id="654720205" name="Imagine 32" descr="O imagine care conține pasăre, text, proiectare&#10;&#10;Descriere generată automat">
                    <a:extLst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370DF5" w14:paraId="6C16B376" w14:textId="4C11D288">
            <w:pPr/>
          </w:p>
        </w:tc>
      </w:tr>
    </w:tbl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544C3BD0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  <w:tcMar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544C3BD0" w:rsidR="0EB57B0A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1B3099BE">
            <w:pPr>
              <w:spacing w:line="480" w:lineRule="auto"/>
            </w:pPr>
            <w:r w:rsidR="71AC52FA">
              <w:drawing>
                <wp:inline wp14:editId="2334BA79" wp14:anchorId="522AFEBE">
                  <wp:extent cx="468007" cy="334947"/>
                  <wp:effectExtent l="0" t="0" r="0" b="0"/>
                  <wp:docPr id="79311482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93114822" name=""/>
                          <pic:cNvPicPr/>
                        </pic:nvPicPr>
                        <pic:blipFill>
                          <a:blip xmlns:r="http://schemas.openxmlformats.org/officeDocument/2006/relationships" r:embed="rId79105768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68007" cy="334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3C197C" w:rsidR="003C197C" w:rsidP="00C0333B" w:rsidRDefault="003C197C" w14:paraId="6B082F1C" w14:textId="12A281D9">
            <w:pPr>
              <w:spacing w:line="480" w:lineRule="auto"/>
            </w:pPr>
            <w:r w:rsidRPr="544C3BD0" w:rsidR="0EB57B0A">
              <w:rPr>
                <w:rFonts w:ascii="Cambria" w:hAnsi="Cambria"/>
              </w:rPr>
              <w:t>Semnătura titularului de seminar</w:t>
            </w:r>
            <w:r w:rsidRPr="544C3BD0" w:rsidR="3553AEAA">
              <w:rPr>
                <w:rFonts w:ascii="Cambria" w:hAnsi="Cambria"/>
              </w:rPr>
              <w:t xml:space="preserve"> </w:t>
            </w:r>
            <w:r w:rsidR="3553AEAA">
              <w:drawing>
                <wp:inline wp14:editId="73031732" wp14:anchorId="5BF68148">
                  <wp:extent cx="504825" cy="360963"/>
                  <wp:effectExtent l="0" t="0" r="0" b="0"/>
                  <wp:docPr id="7697470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6974703" name=""/>
                          <pic:cNvPicPr/>
                        </pic:nvPicPr>
                        <pic:blipFill>
                          <a:blip xmlns:r="http://schemas.openxmlformats.org/officeDocument/2006/relationships" r:embed="rId193568279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60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544C3BD0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  <w:tcMar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544C3BD0" w:rsidR="0EB57B0A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CA4" w:rsidP="00D12BC3" w:rsidRDefault="001F2CA4" w14:paraId="35E2EBCD" w14:textId="77777777">
      <w:pPr>
        <w:spacing w:after="0" w:line="240" w:lineRule="auto"/>
      </w:pPr>
      <w:r>
        <w:separator/>
      </w:r>
    </w:p>
  </w:endnote>
  <w:endnote w:type="continuationSeparator" w:id="0">
    <w:p w:rsidR="001F2CA4" w:rsidP="00D12BC3" w:rsidRDefault="001F2CA4" w14:paraId="19B604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CA4" w:rsidP="00D12BC3" w:rsidRDefault="001F2CA4" w14:paraId="3F0C710B" w14:textId="77777777">
      <w:pPr>
        <w:spacing w:after="0" w:line="240" w:lineRule="auto"/>
      </w:pPr>
      <w:r>
        <w:separator/>
      </w:r>
    </w:p>
  </w:footnote>
  <w:footnote w:type="continuationSeparator" w:id="0">
    <w:p w:rsidR="001F2CA4" w:rsidP="00D12BC3" w:rsidRDefault="001F2CA4" w14:paraId="165FD533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133477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f8d9b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1524"/>
    <w:rsid w:val="001C2668"/>
    <w:rsid w:val="001F2CA4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0321C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4F7055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53059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A2C5F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2C93"/>
    <w:rsid w:val="00936988"/>
    <w:rsid w:val="009401B8"/>
    <w:rsid w:val="00944A03"/>
    <w:rsid w:val="009508B1"/>
    <w:rsid w:val="00996BA6"/>
    <w:rsid w:val="00996E5F"/>
    <w:rsid w:val="009D0E77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023B8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41F84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2206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108466B"/>
    <w:rsid w:val="012BBB25"/>
    <w:rsid w:val="027A0A9C"/>
    <w:rsid w:val="0298B0ED"/>
    <w:rsid w:val="02CB5FA7"/>
    <w:rsid w:val="02D0F188"/>
    <w:rsid w:val="038611C7"/>
    <w:rsid w:val="03AD53A7"/>
    <w:rsid w:val="042C8E41"/>
    <w:rsid w:val="04FE5B7F"/>
    <w:rsid w:val="07715077"/>
    <w:rsid w:val="085C14DE"/>
    <w:rsid w:val="0B29D77E"/>
    <w:rsid w:val="0B9096DE"/>
    <w:rsid w:val="0C316518"/>
    <w:rsid w:val="0C340A1B"/>
    <w:rsid w:val="0C7F1543"/>
    <w:rsid w:val="0DD8DC14"/>
    <w:rsid w:val="0EB57B0A"/>
    <w:rsid w:val="0EBB69E0"/>
    <w:rsid w:val="0EBB69E0"/>
    <w:rsid w:val="0F3A9457"/>
    <w:rsid w:val="0F673793"/>
    <w:rsid w:val="0FEED537"/>
    <w:rsid w:val="1007324C"/>
    <w:rsid w:val="1077477F"/>
    <w:rsid w:val="117E8712"/>
    <w:rsid w:val="11BCBFA1"/>
    <w:rsid w:val="12B5EBAB"/>
    <w:rsid w:val="139B631D"/>
    <w:rsid w:val="13A96F08"/>
    <w:rsid w:val="14AA748F"/>
    <w:rsid w:val="14AA748F"/>
    <w:rsid w:val="15509F33"/>
    <w:rsid w:val="167EF7E7"/>
    <w:rsid w:val="167EF7E7"/>
    <w:rsid w:val="170FFB58"/>
    <w:rsid w:val="1845AAC9"/>
    <w:rsid w:val="1941BF0E"/>
    <w:rsid w:val="1A735AB2"/>
    <w:rsid w:val="1B3CF308"/>
    <w:rsid w:val="1B6F5E69"/>
    <w:rsid w:val="1B9A8AD5"/>
    <w:rsid w:val="1B9A8AD5"/>
    <w:rsid w:val="1C24F01C"/>
    <w:rsid w:val="1C270142"/>
    <w:rsid w:val="1C270142"/>
    <w:rsid w:val="1C4E835D"/>
    <w:rsid w:val="1DE5A88E"/>
    <w:rsid w:val="1EDB75AC"/>
    <w:rsid w:val="1EEC4767"/>
    <w:rsid w:val="20035123"/>
    <w:rsid w:val="20E52864"/>
    <w:rsid w:val="21D54586"/>
    <w:rsid w:val="21D54586"/>
    <w:rsid w:val="2269A6AC"/>
    <w:rsid w:val="22A8D80A"/>
    <w:rsid w:val="23974740"/>
    <w:rsid w:val="23974740"/>
    <w:rsid w:val="2515DC5A"/>
    <w:rsid w:val="25259DB0"/>
    <w:rsid w:val="25259DB0"/>
    <w:rsid w:val="26C45C58"/>
    <w:rsid w:val="27C52CD9"/>
    <w:rsid w:val="27F0069F"/>
    <w:rsid w:val="28C3CB01"/>
    <w:rsid w:val="2912AA88"/>
    <w:rsid w:val="293A2014"/>
    <w:rsid w:val="29AEFDEE"/>
    <w:rsid w:val="29BFFC05"/>
    <w:rsid w:val="2A53FE84"/>
    <w:rsid w:val="2B3C9D0C"/>
    <w:rsid w:val="2C0275F7"/>
    <w:rsid w:val="2C7F7B99"/>
    <w:rsid w:val="2C94E939"/>
    <w:rsid w:val="2D769D2D"/>
    <w:rsid w:val="2D769D2D"/>
    <w:rsid w:val="2E1B698D"/>
    <w:rsid w:val="2F7A8EFD"/>
    <w:rsid w:val="2FC64649"/>
    <w:rsid w:val="2FDBAB29"/>
    <w:rsid w:val="3069FB90"/>
    <w:rsid w:val="3069FB90"/>
    <w:rsid w:val="32176F7A"/>
    <w:rsid w:val="3237F2DC"/>
    <w:rsid w:val="336722C0"/>
    <w:rsid w:val="336722C0"/>
    <w:rsid w:val="33DE811E"/>
    <w:rsid w:val="34283A79"/>
    <w:rsid w:val="342DAB23"/>
    <w:rsid w:val="3553AEAA"/>
    <w:rsid w:val="356E0F59"/>
    <w:rsid w:val="356E0F59"/>
    <w:rsid w:val="35A525BF"/>
    <w:rsid w:val="35D707B6"/>
    <w:rsid w:val="35D707B6"/>
    <w:rsid w:val="369A4ACC"/>
    <w:rsid w:val="3701F005"/>
    <w:rsid w:val="393791FF"/>
    <w:rsid w:val="3A986DC1"/>
    <w:rsid w:val="3AEB85BA"/>
    <w:rsid w:val="3AEBCE3F"/>
    <w:rsid w:val="3B0A1444"/>
    <w:rsid w:val="3BDD5529"/>
    <w:rsid w:val="3C2D85C1"/>
    <w:rsid w:val="3C3F8D77"/>
    <w:rsid w:val="3C481077"/>
    <w:rsid w:val="3C795FD2"/>
    <w:rsid w:val="3E418300"/>
    <w:rsid w:val="3F12D891"/>
    <w:rsid w:val="40727E96"/>
    <w:rsid w:val="40727E96"/>
    <w:rsid w:val="414D058F"/>
    <w:rsid w:val="429B0CBF"/>
    <w:rsid w:val="42A5F125"/>
    <w:rsid w:val="42A5F125"/>
    <w:rsid w:val="42CC68E1"/>
    <w:rsid w:val="43B1E481"/>
    <w:rsid w:val="4417C120"/>
    <w:rsid w:val="445D3D0A"/>
    <w:rsid w:val="447AD76E"/>
    <w:rsid w:val="46566555"/>
    <w:rsid w:val="46644618"/>
    <w:rsid w:val="47D2C5B5"/>
    <w:rsid w:val="49668889"/>
    <w:rsid w:val="4982C8F0"/>
    <w:rsid w:val="4B0CB729"/>
    <w:rsid w:val="4B31A4BC"/>
    <w:rsid w:val="4BC3741F"/>
    <w:rsid w:val="4C9768D1"/>
    <w:rsid w:val="4CDB2AAF"/>
    <w:rsid w:val="4E5C7841"/>
    <w:rsid w:val="4F9F7A1F"/>
    <w:rsid w:val="508A9811"/>
    <w:rsid w:val="50BDCEDF"/>
    <w:rsid w:val="5147A3AA"/>
    <w:rsid w:val="51BA4C24"/>
    <w:rsid w:val="521F7DD6"/>
    <w:rsid w:val="525E3A61"/>
    <w:rsid w:val="525E3A61"/>
    <w:rsid w:val="5270E866"/>
    <w:rsid w:val="527E6A11"/>
    <w:rsid w:val="5401C664"/>
    <w:rsid w:val="544C3BD0"/>
    <w:rsid w:val="54BD623B"/>
    <w:rsid w:val="5535B29C"/>
    <w:rsid w:val="558611A7"/>
    <w:rsid w:val="55A3B979"/>
    <w:rsid w:val="55A3B979"/>
    <w:rsid w:val="584663E6"/>
    <w:rsid w:val="58675A3B"/>
    <w:rsid w:val="588FD49C"/>
    <w:rsid w:val="58973525"/>
    <w:rsid w:val="5A3A16AE"/>
    <w:rsid w:val="5A5DA950"/>
    <w:rsid w:val="5ADD5E57"/>
    <w:rsid w:val="5B494F74"/>
    <w:rsid w:val="5C68DE3E"/>
    <w:rsid w:val="5C8ABADF"/>
    <w:rsid w:val="5D5C0058"/>
    <w:rsid w:val="5DD02D15"/>
    <w:rsid w:val="5DE9F12F"/>
    <w:rsid w:val="5E8062C5"/>
    <w:rsid w:val="5EA18770"/>
    <w:rsid w:val="5EFAE757"/>
    <w:rsid w:val="5F337BBF"/>
    <w:rsid w:val="617A6166"/>
    <w:rsid w:val="637CED0F"/>
    <w:rsid w:val="64903E7E"/>
    <w:rsid w:val="6514FA49"/>
    <w:rsid w:val="66183319"/>
    <w:rsid w:val="667F1EAB"/>
    <w:rsid w:val="67694EB2"/>
    <w:rsid w:val="67E141E5"/>
    <w:rsid w:val="683D48BF"/>
    <w:rsid w:val="68952AC8"/>
    <w:rsid w:val="68E34E2D"/>
    <w:rsid w:val="6A61EE77"/>
    <w:rsid w:val="6ACB65EE"/>
    <w:rsid w:val="6E922BC7"/>
    <w:rsid w:val="6EE0DDF2"/>
    <w:rsid w:val="6F2F5A5E"/>
    <w:rsid w:val="6F721B30"/>
    <w:rsid w:val="71A96D04"/>
    <w:rsid w:val="71AC52FA"/>
    <w:rsid w:val="72224AF5"/>
    <w:rsid w:val="72483420"/>
    <w:rsid w:val="72EA7517"/>
    <w:rsid w:val="753D60B6"/>
    <w:rsid w:val="75B7C22C"/>
    <w:rsid w:val="7718CB55"/>
    <w:rsid w:val="77548419"/>
    <w:rsid w:val="77DE7709"/>
    <w:rsid w:val="77E5C681"/>
    <w:rsid w:val="794BBB92"/>
    <w:rsid w:val="799E4B0C"/>
    <w:rsid w:val="799E4B0C"/>
    <w:rsid w:val="79DC6D87"/>
    <w:rsid w:val="7A25456D"/>
    <w:rsid w:val="7ACE492A"/>
    <w:rsid w:val="7B22E853"/>
    <w:rsid w:val="7C5F6BC5"/>
    <w:rsid w:val="7D21F64A"/>
    <w:rsid w:val="7D4DE95F"/>
    <w:rsid w:val="7D4DE95F"/>
    <w:rsid w:val="7DFBFBC3"/>
    <w:rsid w:val="7E0A9922"/>
    <w:rsid w:val="7E3561E3"/>
    <w:rsid w:val="7E8A2D55"/>
    <w:rsid w:val="7F899E41"/>
    <w:rsid w:val="7FD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/media/image.jpg" Id="rId791057680" /><Relationship Type="http://schemas.openxmlformats.org/officeDocument/2006/relationships/image" Target="/media/image2.jpg" Id="rId193568279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Cristina Rat</lastModifiedBy>
  <revision>15</revision>
  <dcterms:created xsi:type="dcterms:W3CDTF">2025-07-30T11:18:00.0000000Z</dcterms:created>
  <dcterms:modified xsi:type="dcterms:W3CDTF">2025-09-14T14:03:48.1239172Z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