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F400F9" w14:paraId="73B2268A" w14:textId="1CFC8456">
      <w:pPr>
        <w:jc w:val="center"/>
        <w:rPr>
          <w:rFonts w:ascii="Cambria" w:hAnsi="Cambria"/>
          <w:i/>
          <w:iCs/>
        </w:rPr>
      </w:pPr>
      <w:r w:rsidRPr="00F400F9">
        <w:rPr>
          <w:rFonts w:ascii="Cambria" w:hAnsi="Cambria"/>
          <w:i/>
          <w:iCs/>
        </w:rPr>
        <w:t>Consiliere și orientare în carieră</w:t>
      </w:r>
    </w:p>
    <w:p w:rsidRPr="00600874" w:rsidR="00123B64" w:rsidP="00FB5485" w:rsidRDefault="00123B64" w14:paraId="147D6DE1" w14:textId="092E5042">
      <w:pPr>
        <w:jc w:val="center"/>
        <w:rPr>
          <w:rFonts w:ascii="Cambria" w:hAnsi="Cambria"/>
        </w:rPr>
      </w:pPr>
      <w:r w:rsidRPr="584F6C55">
        <w:rPr>
          <w:rFonts w:ascii="Cambria" w:hAnsi="Cambria"/>
        </w:rPr>
        <w:t>Anul universitar</w:t>
      </w:r>
      <w:r w:rsidRPr="584F6C55" w:rsidR="00632190">
        <w:rPr>
          <w:rFonts w:ascii="Cambria" w:hAnsi="Cambria"/>
        </w:rPr>
        <w:t xml:space="preserve"> </w:t>
      </w:r>
      <w:r w:rsidRPr="584F6C55" w:rsidR="00600874">
        <w:rPr>
          <w:rFonts w:ascii="Cambria" w:hAnsi="Cambria"/>
        </w:rPr>
        <w:t>202</w:t>
      </w:r>
      <w:r w:rsidRPr="584F6C55" w:rsidR="15F89D21">
        <w:rPr>
          <w:rFonts w:ascii="Cambria" w:hAnsi="Cambria"/>
        </w:rPr>
        <w:t>5</w:t>
      </w:r>
      <w:r w:rsidRPr="584F6C55" w:rsidR="00600874">
        <w:rPr>
          <w:rFonts w:ascii="Cambria" w:hAnsi="Cambria"/>
        </w:rPr>
        <w:t xml:space="preserve"> - 202</w:t>
      </w:r>
      <w:r w:rsidRPr="584F6C55" w:rsidR="3D2B9B91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F400F9" w14:paraId="2025CE64" w14:textId="25FE8B15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FF722F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180A6CC1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F400F9" w14:paraId="56BB9F54" w14:textId="08845708">
            <w:pPr>
              <w:pStyle w:val="Default"/>
              <w:rPr>
                <w:sz w:val="20"/>
                <w:szCs w:val="20"/>
              </w:rPr>
            </w:pPr>
            <w:r w:rsidRPr="00F400F9">
              <w:rPr>
                <w:sz w:val="20"/>
                <w:szCs w:val="20"/>
              </w:rPr>
              <w:t>Consiliere și orientare în carieră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4368822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F400F9">
              <w:rPr>
                <w:sz w:val="20"/>
                <w:szCs w:val="20"/>
              </w:rPr>
              <w:t>4601</w:t>
            </w:r>
          </w:p>
        </w:tc>
      </w:tr>
      <w:tr w:rsidRPr="00600874" w:rsidR="00600874" w:rsidTr="180A6CC1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600874" w:rsidR="008F5E28" w:rsidP="6EEC01BD" w:rsidRDefault="008F5E28" w14:paraId="02F7CAC0" w14:textId="1460AC9D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EEC01BD" w:rsidR="427B8718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Prof. dr. Oana Negru-Subţirică</w:t>
            </w:r>
          </w:p>
        </w:tc>
      </w:tr>
      <w:tr w:rsidRPr="00600874" w:rsidR="00600874" w:rsidTr="180A6CC1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600874" w:rsidR="008F5E28" w:rsidP="6EEC01BD" w:rsidRDefault="008F5E28" w14:paraId="341D75ED" w14:textId="4FE5DDA6">
            <w:pPr>
              <w:pStyle w:val="Normal"/>
              <w:suppressAutoHyphens/>
              <w:spacing w:after="0" w:line="240" w:lineRule="auto"/>
            </w:pPr>
            <w:r w:rsidRPr="180A6CC1" w:rsidR="3A54643A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drd. Daria Dodan, dr. Iulia Bunea, drd. Cosmina Dumitrașc, dr. Andreea Florea și dr. Bianca V. Marinica</w:t>
            </w:r>
          </w:p>
        </w:tc>
      </w:tr>
      <w:tr w:rsidRPr="00600874" w:rsidR="00600874" w:rsidTr="180A6CC1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6EEC01BD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tcMar/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6EEC01BD" w14:paraId="4ED618CB" w14:textId="77777777">
        <w:trPr>
          <w:trHeight w:val="284"/>
        </w:trPr>
        <w:tc>
          <w:tcPr>
            <w:tcW w:w="3539" w:type="dxa"/>
            <w:tcMar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tcMar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tcMar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tcMar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tcMar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tcMar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6EEC01BD" w14:paraId="76F485A1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tcMar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6EEC01BD" w14:paraId="099BC67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6EEC01BD" w:rsidRDefault="00600874" w14:paraId="1F6F3D9F" w14:textId="4AAA2472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EEC01BD" w:rsidR="389A0E83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45</w:t>
            </w:r>
          </w:p>
        </w:tc>
      </w:tr>
      <w:tr w:rsidRPr="00972DAD" w:rsidR="00600874" w:rsidTr="6EEC01BD" w14:paraId="19B7610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6EEC01BD" w:rsidRDefault="00DF0D49" w14:paraId="7062CF4B" w14:textId="2F0D315F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EEC01BD" w:rsidR="49AC337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3</w:t>
            </w:r>
            <w:r w:rsidRPr="6EEC01BD" w:rsidR="17A5DDB0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5</w:t>
            </w:r>
          </w:p>
        </w:tc>
      </w:tr>
      <w:tr w:rsidRPr="00972DAD" w:rsidR="00600874" w:rsidTr="6EEC01BD" w14:paraId="004325F9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6EEC01BD" w:rsidRDefault="00DF0D49" w14:paraId="5D07688F" w14:textId="225A7625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EEC01BD" w:rsidR="1B4E48F8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45</w:t>
            </w:r>
          </w:p>
        </w:tc>
      </w:tr>
      <w:tr w:rsidRPr="00972DAD" w:rsidR="00600874" w:rsidTr="6EEC01BD" w14:paraId="078D24F4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6EEC01BD" w:rsidRDefault="00600874" w14:paraId="4844841D" w14:textId="2354F9DE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EEC01BD" w:rsidR="73A7C07F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Pr="00972DAD" w:rsidR="00600874" w:rsidTr="6EEC01BD" w14:paraId="246007A0" w14:textId="77777777">
        <w:trPr>
          <w:trHeight w:val="353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tcMar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6EEC01BD" w14:paraId="651F84AF" w14:textId="77777777">
        <w:trPr>
          <w:trHeight w:val="284"/>
        </w:trPr>
        <w:tc>
          <w:tcPr>
            <w:tcW w:w="9918" w:type="dxa"/>
            <w:gridSpan w:val="6"/>
            <w:tcMar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tcMar/>
            <w:vAlign w:val="center"/>
          </w:tcPr>
          <w:p w:rsidRPr="00972DAD" w:rsidR="00600874" w:rsidP="6EEC01BD" w:rsidRDefault="00600874" w14:paraId="18E004A9" w14:textId="316E3341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6EEC01BD" w:rsidR="0532CCF9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0</w:t>
            </w:r>
          </w:p>
        </w:tc>
      </w:tr>
      <w:tr w:rsidRPr="00972DAD" w:rsidR="00600874" w:rsidTr="6EEC01BD" w14:paraId="51A2E484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600874" w:rsidP="6EEC01BD" w:rsidRDefault="00600874" w14:paraId="6EABD8A3" w14:textId="0B91AC49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6EEC01BD" w:rsidR="00600874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1</w:t>
            </w:r>
            <w:r w:rsidRPr="6EEC01BD" w:rsidR="5AF6E3CC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27</w:t>
            </w:r>
          </w:p>
        </w:tc>
      </w:tr>
      <w:tr w:rsidRPr="00972DAD" w:rsidR="00600874" w:rsidTr="6EEC01BD" w14:paraId="03E74F97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600874" w:rsidP="6EEC01BD" w:rsidRDefault="00600874" w14:paraId="686BA008" w14:textId="23C947C8">
            <w:pPr>
              <w:keepNext w:val="1"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</w:pPr>
            <w:r w:rsidRPr="6EEC01BD" w:rsidR="00600874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1</w:t>
            </w:r>
            <w:r w:rsidRPr="6EEC01BD" w:rsidR="7071FF36">
              <w:rPr>
                <w:rFonts w:ascii="Cambria" w:hAnsi="Cambria" w:eastAsia="Times New Roman" w:cs="Times New Roman"/>
                <w:b w:val="1"/>
                <w:bCs w:val="1"/>
                <w:sz w:val="20"/>
                <w:szCs w:val="20"/>
                <w:lang w:eastAsia="zh-CN"/>
              </w:rPr>
              <w:t>75</w:t>
            </w:r>
          </w:p>
        </w:tc>
      </w:tr>
      <w:tr w:rsidRPr="00972DAD" w:rsidR="00600874" w:rsidTr="6EEC01BD" w14:paraId="29D10D32" w14:textId="77777777">
        <w:trPr>
          <w:trHeight w:val="284"/>
        </w:trPr>
        <w:tc>
          <w:tcPr>
            <w:tcW w:w="6516" w:type="dxa"/>
            <w:gridSpan w:val="4"/>
            <w:tcMar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tcMar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6EEC01BD" w14:paraId="23125FAA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6EEC01BD" w:rsidRDefault="00844EAD" w14:paraId="2D9AB4AF" w14:textId="235A924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</w:pPr>
            <w:r w:rsidRPr="6EEC01BD" w:rsidR="5BB82498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Videoproiector, staţie sonorizare, laptop, videoproiector</w:t>
            </w:r>
          </w:p>
        </w:tc>
      </w:tr>
      <w:tr w:rsidRPr="00972DAD" w:rsidR="00844EAD" w:rsidTr="6EEC01BD" w14:paraId="41B31065" w14:textId="77777777">
        <w:trPr>
          <w:trHeight w:val="284"/>
        </w:trPr>
        <w:tc>
          <w:tcPr>
            <w:tcW w:w="4395" w:type="dxa"/>
            <w:tcMar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tcMar/>
            <w:vAlign w:val="center"/>
          </w:tcPr>
          <w:p w:rsidRPr="00972DAD" w:rsidR="00844EAD" w:rsidP="6EEC01BD" w:rsidRDefault="00844EAD" w14:paraId="1E6271C3" w14:textId="14F5CBE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</w:pP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Videoproiector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, 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staţie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sonorizare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, laptop, 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videoproiector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, m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ateriale 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xeroxate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pentru 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>activităţi</w:t>
            </w:r>
            <w:r w:rsidRPr="6EEC01BD" w:rsidR="0A1B8D12">
              <w:rPr>
                <w:rFonts w:ascii="Cambria" w:hAnsi="Cambria" w:eastAsia="Times New Roman" w:cs="Times New Roman"/>
                <w:sz w:val="20"/>
                <w:szCs w:val="20"/>
                <w:lang w:val="it-IT" w:eastAsia="zh-CN"/>
              </w:rPr>
              <w:t xml:space="preserve"> de seminar</w:t>
            </w: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6EEC01BD" w14:paraId="691B4F18" w14:textId="77777777">
        <w:trPr>
          <w:cantSplit/>
          <w:trHeight w:val="2884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tcMar/>
            <w:vAlign w:val="center"/>
          </w:tcPr>
          <w:p w:rsidR="00C0333B" w:rsidP="00C0333B" w:rsidRDefault="00C0333B" w14:paraId="1146FC9A" w14:textId="5E64DE87">
            <w:pPr>
              <w:pStyle w:val="Default"/>
              <w:rPr>
                <w:sz w:val="20"/>
                <w:szCs w:val="20"/>
              </w:rPr>
            </w:pPr>
            <w:r w:rsidRPr="6EEC01BD" w:rsidR="00C0333B">
              <w:rPr>
                <w:sz w:val="20"/>
                <w:szCs w:val="20"/>
              </w:rPr>
              <w:t xml:space="preserve">Diagnoza mediului organizațional </w:t>
            </w:r>
          </w:p>
          <w:p w:rsidR="00C0333B" w:rsidP="00C0333B" w:rsidRDefault="00C0333B" w14:paraId="2EAA9910" w14:textId="185D6860">
            <w:pPr>
              <w:pStyle w:val="Default"/>
              <w:rPr>
                <w:sz w:val="20"/>
                <w:szCs w:val="20"/>
              </w:rPr>
            </w:pPr>
            <w:r w:rsidRPr="6EEC01BD" w:rsidR="00C0333B">
              <w:rPr>
                <w:sz w:val="20"/>
                <w:szCs w:val="20"/>
              </w:rPr>
              <w:t xml:space="preserve">Identificarea nevoilor de dezvoltare a resurselor umane din organizație prin aplicarea de metode specifice </w:t>
            </w:r>
          </w:p>
          <w:p w:rsidR="00C0333B" w:rsidP="00C0333B" w:rsidRDefault="00C0333B" w14:paraId="6CD4CBAC" w14:textId="377B830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A74D64" w:rsidR="00551CC4" w:rsidP="6EEC01BD" w:rsidRDefault="00C0333B" w14:paraId="0BB0DCF7" w14:textId="6364F4BC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a. </w:t>
            </w:r>
            <w:r w:rsidRPr="6EEC01BD" w:rsidR="40A57D44">
              <w:rPr>
                <w:sz w:val="20"/>
                <w:szCs w:val="20"/>
              </w:rPr>
              <w:t>Cunoaştere</w:t>
            </w:r>
            <w:r w:rsidRPr="6EEC01BD" w:rsidR="40A57D44">
              <w:rPr>
                <w:sz w:val="20"/>
                <w:szCs w:val="20"/>
              </w:rPr>
              <w:t xml:space="preserve">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</w:t>
            </w:r>
            <w:r w:rsidRPr="6EEC01BD" w:rsidR="40A57D44">
              <w:rPr>
                <w:sz w:val="20"/>
                <w:szCs w:val="20"/>
              </w:rPr>
              <w:t>înţelegere</w:t>
            </w:r>
          </w:p>
          <w:p w:rsidRPr="00A74D64" w:rsidR="00551CC4" w:rsidP="6EEC01BD" w:rsidRDefault="00C0333B" w14:paraId="482FB72B" w14:textId="5B687126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</w:t>
            </w:r>
            <w:r w:rsidRPr="6EEC01BD" w:rsidR="40A57D44">
              <w:rPr>
                <w:sz w:val="20"/>
                <w:szCs w:val="20"/>
              </w:rPr>
              <w:t>cunoaşte</w:t>
            </w:r>
            <w:r w:rsidRPr="6EEC01BD" w:rsidR="40A57D44">
              <w:rPr>
                <w:sz w:val="20"/>
                <w:szCs w:val="20"/>
              </w:rPr>
              <w:t xml:space="preserve"> </w:t>
            </w:r>
            <w:r w:rsidRPr="6EEC01BD" w:rsidR="40A57D44">
              <w:rPr>
                <w:sz w:val="20"/>
                <w:szCs w:val="20"/>
              </w:rPr>
              <w:t>asumpţiile</w:t>
            </w:r>
            <w:r w:rsidRPr="6EEC01BD" w:rsidR="40A57D44">
              <w:rPr>
                <w:sz w:val="20"/>
                <w:szCs w:val="20"/>
              </w:rPr>
              <w:t xml:space="preserve"> principalelor modele ale dezvoltării carierei</w:t>
            </w:r>
          </w:p>
          <w:p w:rsidRPr="00A74D64" w:rsidR="00551CC4" w:rsidP="6EEC01BD" w:rsidRDefault="00C0333B" w14:paraId="4E4BD101" w14:textId="5DEA70BA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- argumentează mecanismele postulate de abordările teoretice din domeniul dezvoltării</w:t>
            </w:r>
          </w:p>
          <w:p w:rsidRPr="00A74D64" w:rsidR="00551CC4" w:rsidP="6EEC01BD" w:rsidRDefault="00C0333B" w14:paraId="4A063B65" w14:textId="3249D301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carierei</w:t>
            </w:r>
          </w:p>
          <w:p w:rsidRPr="00A74D64" w:rsidR="00551CC4" w:rsidP="6EEC01BD" w:rsidRDefault="00C0333B" w14:paraId="2BFED5D4" w14:textId="60FE86BE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realizează conexiuni între diferitele procese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etape în dezvoltarea carierei</w:t>
            </w:r>
          </w:p>
          <w:p w:rsidRPr="00A74D64" w:rsidR="00551CC4" w:rsidP="6EEC01BD" w:rsidRDefault="00C0333B" w14:paraId="5E6E0A3A" w14:textId="4D75CEB8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</w:t>
            </w:r>
            <w:r w:rsidRPr="6EEC01BD" w:rsidR="40A57D44">
              <w:rPr>
                <w:sz w:val="20"/>
                <w:szCs w:val="20"/>
              </w:rPr>
              <w:t>înţelege</w:t>
            </w:r>
            <w:r w:rsidRPr="6EEC01BD" w:rsidR="40A57D44">
              <w:rPr>
                <w:sz w:val="20"/>
                <w:szCs w:val="20"/>
              </w:rPr>
              <w:t xml:space="preserve"> serviciile de consiliere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orientare (informare în carieră, orientare în carieră,</w:t>
            </w:r>
          </w:p>
          <w:p w:rsidRPr="00A74D64" w:rsidR="00551CC4" w:rsidP="6EEC01BD" w:rsidRDefault="00C0333B" w14:paraId="29DC61C2" w14:textId="252579C2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consiliere în carieră) prin prisma caracteristicilor beneficiarilor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a </w:t>
            </w:r>
            <w:r w:rsidRPr="6EEC01BD" w:rsidR="40A57D44">
              <w:rPr>
                <w:sz w:val="20"/>
                <w:szCs w:val="20"/>
              </w:rPr>
              <w:t>particularităţilor</w:t>
            </w:r>
          </w:p>
          <w:p w:rsidRPr="00A74D64" w:rsidR="00551CC4" w:rsidP="6EEC01BD" w:rsidRDefault="00C0333B" w14:paraId="689C7E2D" w14:textId="2212AB5F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dificultăţilor</w:t>
            </w:r>
            <w:r w:rsidRPr="6EEC01BD" w:rsidR="40A57D44">
              <w:rPr>
                <w:sz w:val="20"/>
                <w:szCs w:val="20"/>
              </w:rPr>
              <w:t xml:space="preserve"> în carieră</w:t>
            </w:r>
          </w:p>
          <w:p w:rsidRPr="00A74D64" w:rsidR="00551CC4" w:rsidP="6EEC01BD" w:rsidRDefault="00C0333B" w14:paraId="49C0CD52" w14:textId="707BF912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b. Explicare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interpretare</w:t>
            </w:r>
          </w:p>
          <w:p w:rsidRPr="00A74D64" w:rsidR="00551CC4" w:rsidP="6EEC01BD" w:rsidRDefault="00C0333B" w14:paraId="09740E7A" w14:textId="52B3BCAB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interpretează procesele implicate în dezvoltarea carierei prin prisma mecanismelor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a</w:t>
            </w:r>
          </w:p>
          <w:p w:rsidRPr="00A74D64" w:rsidR="00551CC4" w:rsidP="6EEC01BD" w:rsidRDefault="00C0333B" w14:paraId="0C2FE9E6" w14:textId="35E5EFCA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factorilor care stau la baza acestora</w:t>
            </w:r>
          </w:p>
          <w:p w:rsidRPr="00A74D64" w:rsidR="00551CC4" w:rsidP="6EEC01BD" w:rsidRDefault="00C0333B" w14:paraId="6F9B1ECB" w14:textId="242BF4D1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explică </w:t>
            </w:r>
            <w:r w:rsidRPr="6EEC01BD" w:rsidR="40A57D44">
              <w:rPr>
                <w:sz w:val="20"/>
                <w:szCs w:val="20"/>
              </w:rPr>
              <w:t>dificultăţile</w:t>
            </w:r>
            <w:r w:rsidRPr="6EEC01BD" w:rsidR="40A57D44">
              <w:rPr>
                <w:sz w:val="20"/>
                <w:szCs w:val="20"/>
              </w:rPr>
              <w:t xml:space="preserve"> în dezvoltarea carierei prin raportare la modelele teoretice adiacente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la</w:t>
            </w:r>
          </w:p>
          <w:p w:rsidRPr="00A74D64" w:rsidR="00551CC4" w:rsidP="6EEC01BD" w:rsidRDefault="00C0333B" w14:paraId="41679E94" w14:textId="67F343B1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direcţiile</w:t>
            </w:r>
            <w:r w:rsidRPr="6EEC01BD" w:rsidR="40A57D44">
              <w:rPr>
                <w:sz w:val="20"/>
                <w:szCs w:val="20"/>
              </w:rPr>
              <w:t xml:space="preserve"> de </w:t>
            </w:r>
            <w:r w:rsidRPr="6EEC01BD" w:rsidR="40A57D44">
              <w:rPr>
                <w:sz w:val="20"/>
                <w:szCs w:val="20"/>
              </w:rPr>
              <w:t>intervenţie</w:t>
            </w:r>
            <w:r w:rsidRPr="6EEC01BD" w:rsidR="40A57D44">
              <w:rPr>
                <w:sz w:val="20"/>
                <w:szCs w:val="20"/>
              </w:rPr>
              <w:t xml:space="preserve"> practică</w:t>
            </w:r>
          </w:p>
          <w:p w:rsidRPr="00A74D64" w:rsidR="00551CC4" w:rsidP="6EEC01BD" w:rsidRDefault="00C0333B" w14:paraId="772AB315" w14:textId="7DFB4ED3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realizează analize comparative între </w:t>
            </w:r>
            <w:r w:rsidRPr="6EEC01BD" w:rsidR="40A57D44">
              <w:rPr>
                <w:sz w:val="20"/>
                <w:szCs w:val="20"/>
              </w:rPr>
              <w:t>asumpţiile</w:t>
            </w:r>
            <w:r w:rsidRPr="6EEC01BD" w:rsidR="40A57D44">
              <w:rPr>
                <w:sz w:val="20"/>
                <w:szCs w:val="20"/>
              </w:rPr>
              <w:t xml:space="preserve"> modelelor teoretice ale dezvoltării carierei</w:t>
            </w:r>
          </w:p>
          <w:p w:rsidRPr="00A74D64" w:rsidR="00551CC4" w:rsidP="6EEC01BD" w:rsidRDefault="00C0333B" w14:paraId="0025EFEE" w14:textId="456144D8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c. Instrumental – aplicative</w:t>
            </w:r>
          </w:p>
          <w:p w:rsidRPr="00A74D64" w:rsidR="00551CC4" w:rsidP="6EEC01BD" w:rsidRDefault="00C0333B" w14:paraId="1C0251AB" w14:textId="24E35323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exersează tehnici individuale de consiliere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orientare în carieră</w:t>
            </w:r>
          </w:p>
          <w:p w:rsidRPr="00A74D64" w:rsidR="00551CC4" w:rsidP="6EEC01BD" w:rsidRDefault="00C0333B" w14:paraId="30F1812A" w14:textId="0B637740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aplică la nivel bazal tehnici de grup pentru consiliere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orientare în carieră</w:t>
            </w:r>
          </w:p>
          <w:p w:rsidRPr="00A74D64" w:rsidR="00551CC4" w:rsidP="6EEC01BD" w:rsidRDefault="00C0333B" w14:paraId="741206C8" w14:textId="784C9E39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proiectează la nivel bazal </w:t>
            </w:r>
            <w:r w:rsidRPr="6EEC01BD" w:rsidR="40A57D44">
              <w:rPr>
                <w:sz w:val="20"/>
                <w:szCs w:val="20"/>
              </w:rPr>
              <w:t>intervenţii</w:t>
            </w:r>
            <w:r w:rsidRPr="6EEC01BD" w:rsidR="40A57D44">
              <w:rPr>
                <w:sz w:val="20"/>
                <w:szCs w:val="20"/>
              </w:rPr>
              <w:t xml:space="preserve"> aplicative de consiliere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orientare</w:t>
            </w:r>
          </w:p>
          <w:p w:rsidRPr="00A74D64" w:rsidR="00551CC4" w:rsidP="6EEC01BD" w:rsidRDefault="00C0333B" w14:paraId="639B3313" w14:textId="7C0C94CC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d. Atitudinale</w:t>
            </w:r>
          </w:p>
          <w:p w:rsidRPr="00A74D64" w:rsidR="00551CC4" w:rsidP="6EEC01BD" w:rsidRDefault="00C0333B" w14:paraId="49BDF688" w14:textId="513B1D64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</w:t>
            </w:r>
            <w:r w:rsidRPr="6EEC01BD" w:rsidR="40A57D44">
              <w:rPr>
                <w:sz w:val="20"/>
                <w:szCs w:val="20"/>
              </w:rPr>
              <w:t>îşi</w:t>
            </w:r>
            <w:r w:rsidRPr="6EEC01BD" w:rsidR="40A57D44">
              <w:rPr>
                <w:sz w:val="20"/>
                <w:szCs w:val="20"/>
              </w:rPr>
              <w:t xml:space="preserve"> dezvoltă atitudini pozitive </w:t>
            </w:r>
            <w:r w:rsidRPr="6EEC01BD" w:rsidR="40A57D44">
              <w:rPr>
                <w:sz w:val="20"/>
                <w:szCs w:val="20"/>
              </w:rPr>
              <w:t>faţă</w:t>
            </w:r>
            <w:r w:rsidRPr="6EEC01BD" w:rsidR="40A57D44">
              <w:rPr>
                <w:sz w:val="20"/>
                <w:szCs w:val="20"/>
              </w:rPr>
              <w:t xml:space="preserve"> de procesul de dezvoltare a propriei cariere</w:t>
            </w:r>
          </w:p>
          <w:p w:rsidRPr="00A74D64" w:rsidR="00551CC4" w:rsidP="6EEC01BD" w:rsidRDefault="00C0333B" w14:paraId="0093175F" w14:textId="71BF84F6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>- promovează rolul serviciilor de dezvoltare a carierei (consiliere în carieră, orientare în</w:t>
            </w:r>
          </w:p>
          <w:p w:rsidRPr="00A74D64" w:rsidR="00551CC4" w:rsidP="6EEC01BD" w:rsidRDefault="00C0333B" w14:paraId="019C5418" w14:textId="4E62BEF1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carieră, etc.) la nivel individual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</w:t>
            </w:r>
            <w:r w:rsidRPr="6EEC01BD" w:rsidR="40A57D44">
              <w:rPr>
                <w:sz w:val="20"/>
                <w:szCs w:val="20"/>
              </w:rPr>
              <w:t>organizaţional</w:t>
            </w:r>
            <w:r w:rsidRPr="6EEC01BD" w:rsidR="40A57D44">
              <w:rPr>
                <w:sz w:val="20"/>
                <w:szCs w:val="20"/>
              </w:rPr>
              <w:t xml:space="preserve"> (</w:t>
            </w:r>
            <w:r w:rsidRPr="6EEC01BD" w:rsidR="40A57D44">
              <w:rPr>
                <w:sz w:val="20"/>
                <w:szCs w:val="20"/>
              </w:rPr>
              <w:t>şcoli</w:t>
            </w:r>
            <w:r w:rsidRPr="6EEC01BD" w:rsidR="40A57D44">
              <w:rPr>
                <w:sz w:val="20"/>
                <w:szCs w:val="20"/>
              </w:rPr>
              <w:t>, ONG-uri, etc.)</w:t>
            </w:r>
          </w:p>
          <w:p w:rsidRPr="00A74D64" w:rsidR="00551CC4" w:rsidP="6EEC01BD" w:rsidRDefault="00C0333B" w14:paraId="59C4AC85" w14:textId="14755A32">
            <w:pPr>
              <w:pStyle w:val="Default"/>
              <w:rPr>
                <w:sz w:val="20"/>
                <w:szCs w:val="20"/>
              </w:rPr>
            </w:pPr>
            <w:r w:rsidRPr="6EEC01BD" w:rsidR="40A57D44">
              <w:rPr>
                <w:sz w:val="20"/>
                <w:szCs w:val="20"/>
              </w:rPr>
              <w:t xml:space="preserve">- valorizează </w:t>
            </w:r>
            <w:r w:rsidRPr="6EEC01BD" w:rsidR="40A57D44">
              <w:rPr>
                <w:sz w:val="20"/>
                <w:szCs w:val="20"/>
              </w:rPr>
              <w:t>diferenţele</w:t>
            </w:r>
            <w:r w:rsidRPr="6EEC01BD" w:rsidR="40A57D44">
              <w:rPr>
                <w:sz w:val="20"/>
                <w:szCs w:val="20"/>
              </w:rPr>
              <w:t xml:space="preserve"> interindividuale în managementul </w:t>
            </w:r>
            <w:r w:rsidRPr="6EEC01BD" w:rsidR="40A57D44">
              <w:rPr>
                <w:sz w:val="20"/>
                <w:szCs w:val="20"/>
              </w:rPr>
              <w:t>şi</w:t>
            </w:r>
            <w:r w:rsidRPr="6EEC01BD" w:rsidR="40A57D44">
              <w:rPr>
                <w:sz w:val="20"/>
                <w:szCs w:val="20"/>
              </w:rPr>
              <w:t xml:space="preserve"> dezvoltarea carierei</w:t>
            </w:r>
          </w:p>
        </w:tc>
      </w:tr>
      <w:tr w:rsidRPr="0039068A" w:rsidR="00551CC4" w:rsidTr="6EEC01BD" w14:paraId="1F728DFD" w14:textId="77777777">
        <w:trPr>
          <w:cantSplit/>
          <w:trHeight w:val="1775"/>
        </w:trPr>
        <w:tc>
          <w:tcPr>
            <w:tcW w:w="852" w:type="dxa"/>
            <w:tcMar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tcMar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7091E800" w:rsidP="6EEC01BD" w:rsidRDefault="7091E800" w14:paraId="647B3E20" w14:textId="68011C64">
            <w:pPr>
              <w:pStyle w:val="Default"/>
              <w:rPr>
                <w:sz w:val="20"/>
                <w:szCs w:val="20"/>
              </w:rPr>
            </w:pPr>
            <w:r w:rsidRPr="6EEC01BD" w:rsidR="7091E800">
              <w:rPr>
                <w:sz w:val="20"/>
                <w:szCs w:val="20"/>
              </w:rPr>
              <w:t>dezvoltarea gândirii critice</w:t>
            </w:r>
          </w:p>
          <w:p w:rsidR="7091E800" w:rsidP="6EEC01BD" w:rsidRDefault="7091E800" w14:paraId="35EBFB5D" w14:textId="6FE9F87D">
            <w:pPr>
              <w:pStyle w:val="Default"/>
            </w:pPr>
            <w:r w:rsidRPr="6EEC01BD" w:rsidR="7091E800">
              <w:rPr>
                <w:sz w:val="20"/>
                <w:szCs w:val="20"/>
              </w:rPr>
              <w:t>autocunoaștere și rezolvare de probleme/ luare de decizii</w:t>
            </w:r>
          </w:p>
          <w:p w:rsidR="7091E800" w:rsidP="6EEC01BD" w:rsidRDefault="7091E800" w14:paraId="2B7D2E9E" w14:textId="40BB71A2">
            <w:pPr>
              <w:pStyle w:val="Default"/>
            </w:pPr>
            <w:r w:rsidRPr="6EEC01BD" w:rsidR="7091E800">
              <w:rPr>
                <w:sz w:val="20"/>
                <w:szCs w:val="20"/>
              </w:rPr>
              <w:t>managementul resurselor materiale şi de timp</w:t>
            </w:r>
          </w:p>
          <w:p w:rsidR="6EEC01BD" w:rsidP="6EEC01BD" w:rsidRDefault="6EEC01BD" w14:paraId="787ED7B6" w14:textId="41BC5804">
            <w:pPr>
              <w:pStyle w:val="Default"/>
              <w:rPr>
                <w:sz w:val="20"/>
                <w:szCs w:val="20"/>
              </w:rPr>
            </w:pP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6EEC01BD" w14:paraId="70D4DA02" w14:textId="77777777">
        <w:trPr>
          <w:cantSplit/>
          <w:trHeight w:val="1003"/>
        </w:trPr>
        <w:tc>
          <w:tcPr>
            <w:tcW w:w="2830" w:type="dxa"/>
            <w:tcMar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tcMar/>
            <w:vAlign w:val="center"/>
          </w:tcPr>
          <w:p w:rsidRPr="00694E26" w:rsidR="0083358D" w:rsidP="6EEC01BD" w:rsidRDefault="0083358D" w14:paraId="77AF0D91" w14:textId="701A1290">
            <w:pPr>
              <w:pStyle w:val="Normal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6EEC01BD" w:rsidR="00CCEB37">
              <w:rPr>
                <w:rFonts w:ascii="Cambria" w:hAnsi="Cambria"/>
                <w:sz w:val="20"/>
                <w:szCs w:val="20"/>
              </w:rPr>
              <w:t>familiarizarea studenţilor cu principalele teorii psihologice din domeniul consilierii şi orientării în carieră, cu accent asupra unor dimensiuni aplicative privind procesul de dezvoltare a carierei și luare de decizii vocaționale</w:t>
            </w:r>
          </w:p>
          <w:p w:rsidRPr="00694E26" w:rsidR="0083358D" w:rsidP="6EEC01BD" w:rsidRDefault="0083358D" w14:paraId="7F90CB51" w14:textId="5B73D627">
            <w:pPr>
              <w:pStyle w:val="Normal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6EEC01BD" w14:paraId="36D1494C" w14:textId="77777777">
        <w:trPr>
          <w:cantSplit/>
          <w:trHeight w:val="832"/>
        </w:trPr>
        <w:tc>
          <w:tcPr>
            <w:tcW w:w="2830" w:type="dxa"/>
            <w:tcMar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tcMar/>
            <w:vAlign w:val="center"/>
          </w:tcPr>
          <w:p w:rsidRPr="00694E26" w:rsidR="0083358D" w:rsidP="6EEC01BD" w:rsidRDefault="0083358D" w14:paraId="76781870" w14:textId="44693615">
            <w:pPr>
              <w:pStyle w:val="Normal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  <w:r w:rsidRPr="6EEC01BD" w:rsidR="0BD86558">
              <w:rPr>
                <w:rFonts w:ascii="Cambria" w:hAnsi="Cambria"/>
                <w:sz w:val="20"/>
                <w:szCs w:val="20"/>
              </w:rPr>
              <w:t>cunoaşterea principalelor abordări teoretice din domeniul consilierii şi orientării în carieră</w:t>
            </w:r>
          </w:p>
          <w:p w:rsidRPr="00694E26" w:rsidR="0083358D" w:rsidP="6EEC01BD" w:rsidRDefault="0083358D" w14:paraId="0FE289FC" w14:textId="344BC4C0">
            <w:pPr>
              <w:pStyle w:val="Normal"/>
              <w:spacing w:after="0" w:line="240" w:lineRule="auto"/>
              <w:ind w:left="0"/>
            </w:pPr>
            <w:r w:rsidRPr="6EEC01BD" w:rsidR="0BD86558">
              <w:rPr>
                <w:rFonts w:ascii="Cambria" w:hAnsi="Cambria"/>
                <w:sz w:val="20"/>
                <w:szCs w:val="20"/>
              </w:rPr>
              <w:t>înţelegerea procesului de consiliere şi orientare în carieră</w:t>
            </w:r>
          </w:p>
          <w:p w:rsidRPr="00694E26" w:rsidR="0083358D" w:rsidP="6EEC01BD" w:rsidRDefault="0083358D" w14:paraId="1ABF9748" w14:textId="257D5E38">
            <w:pPr>
              <w:pStyle w:val="Normal"/>
              <w:spacing w:after="0" w:line="240" w:lineRule="auto"/>
              <w:ind w:left="0"/>
            </w:pPr>
            <w:r w:rsidRPr="6EEC01BD" w:rsidR="0BD86558">
              <w:rPr>
                <w:rFonts w:ascii="Cambria" w:hAnsi="Cambria"/>
                <w:sz w:val="20"/>
                <w:szCs w:val="20"/>
              </w:rPr>
              <w:t>asimilarea unor tehnici şi metode de lucru individual şi în grup pentru consiliere şi orientare în carieră</w:t>
            </w:r>
          </w:p>
          <w:p w:rsidRPr="00694E26" w:rsidR="0083358D" w:rsidP="6EEC01BD" w:rsidRDefault="0083358D" w14:paraId="49C8C8EF" w14:textId="31AED3D3">
            <w:pPr>
              <w:pStyle w:val="Normal"/>
              <w:spacing w:after="0" w:line="240" w:lineRule="auto"/>
              <w:ind w:left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2580"/>
        <w:gridCol w:w="3321"/>
      </w:tblGrid>
      <w:tr w:rsidRPr="002A3A93" w:rsidR="008C28C6" w:rsidTr="6EEC01BD" w14:paraId="5486D853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2580" w:type="dxa"/>
            <w:tcMar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3321" w:type="dxa"/>
            <w:tcMar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6EEC01BD" w14:paraId="24407265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2A3A93" w:rsidP="6EEC01BD" w:rsidRDefault="00600874" w14:paraId="4D405629" w14:textId="4DFE0D2E">
            <w:pPr>
              <w:spacing w:after="0" w:line="240" w:lineRule="auto"/>
              <w:rPr>
                <w:rFonts w:ascii="Cambria" w:hAnsi="Cambria" w:eastAsia="Calibri" w:cs="Times New Roman"/>
                <w:sz w:val="20"/>
                <w:szCs w:val="20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  <w:r w:rsidR="3185507A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 xml:space="preserve">Curs introductiv (prezentarea cursului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şi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 xml:space="preserve"> aspecte administrative). Conceptul de carieră din perspectiva consilierii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şi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 xml:space="preserve"> a orientării în carieră:</w:t>
            </w:r>
          </w:p>
          <w:p w:rsidRPr="002A3A93" w:rsidR="002A3A93" w:rsidP="6EEC01BD" w:rsidRDefault="00600874" w14:paraId="5425D878" w14:textId="61901379">
            <w:pPr>
              <w:pStyle w:val="Normal"/>
              <w:spacing w:after="0" w:line="240" w:lineRule="auto"/>
            </w:pP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evoluţie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şi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semnificaţie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, mecanisme implicate</w:t>
            </w:r>
          </w:p>
        </w:tc>
        <w:tc>
          <w:tcPr>
            <w:tcW w:w="2580" w:type="dxa"/>
            <w:tcMar/>
            <w:vAlign w:val="center"/>
          </w:tcPr>
          <w:p w:rsidRPr="002A3A93" w:rsidR="002A3A93" w:rsidP="6EEC01BD" w:rsidRDefault="002A3A93" w14:paraId="4AEE5826" w14:textId="1DEECDE2">
            <w:pPr>
              <w:pStyle w:val="Normal"/>
              <w:spacing w:after="0" w:line="240" w:lineRule="auto"/>
            </w:pP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expunerea, clarificare</w:t>
            </w:r>
            <w:r w:rsidRPr="6EEC01BD" w:rsidR="4AF5664E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conceptuală, exemplul</w:t>
            </w:r>
            <w:r w:rsidRPr="6EEC01BD" w:rsidR="4AF5664E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demonstrativ,</w:t>
            </w:r>
            <w:r w:rsidRPr="6EEC01BD" w:rsidR="2BD2A3F5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dezbatere, sinteza</w:t>
            </w:r>
            <w:r w:rsidRPr="6EEC01BD" w:rsidR="2BD2A3F5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cunoştinţelor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,</w:t>
            </w:r>
            <w:r w:rsidRPr="6EEC01BD" w:rsidR="6685D62D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3185507A">
              <w:rPr>
                <w:rFonts w:ascii="Cambria" w:hAnsi="Cambria" w:eastAsia="Calibri" w:cs="Times New Roman"/>
                <w:sz w:val="20"/>
                <w:szCs w:val="20"/>
              </w:rPr>
              <w:t>descoperire dirijată</w:t>
            </w:r>
          </w:p>
        </w:tc>
        <w:tc>
          <w:tcPr>
            <w:tcW w:w="3321" w:type="dxa"/>
            <w:tcMar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EEC01BD" w14:paraId="0B451E2D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2A3A93" w:rsidP="002A3A93" w:rsidRDefault="00600874" w14:paraId="577143C3" w14:textId="7CCBF07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  <w:r w:rsidR="6972582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 xml:space="preserve">Dimensiuni ale dezvoltării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identităţii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 xml:space="preserve"> în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 xml:space="preserve">adolescenţă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şi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 xml:space="preserve"> perioada de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emergenţă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 xml:space="preserve"> a vârstei adulte</w:t>
            </w:r>
          </w:p>
        </w:tc>
        <w:tc>
          <w:tcPr>
            <w:tcW w:w="2580" w:type="dxa"/>
            <w:tcMar/>
            <w:vAlign w:val="center"/>
          </w:tcPr>
          <w:p w:rsidRPr="002A3A93" w:rsidR="007965C1" w:rsidP="002A3A93" w:rsidRDefault="007965C1" w14:paraId="2F417D16" w14:textId="61DFC4B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expunerea, clarificare</w:t>
            </w:r>
            <w:r w:rsidRPr="6EEC01BD" w:rsidR="05C4AEF2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conceptuală, exemplul</w:t>
            </w:r>
            <w:r w:rsidRPr="6EEC01BD" w:rsidR="4BB510E4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demonstrativ,</w:t>
            </w:r>
            <w:r w:rsidRPr="6EEC01BD" w:rsidR="4C4AB50F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dezbatere, sinteza</w:t>
            </w:r>
            <w:r w:rsidRPr="6EEC01BD" w:rsidR="4C4AB50F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cunoştinţelor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,</w:t>
            </w:r>
            <w:r w:rsidRPr="6EEC01BD" w:rsidR="41F14406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descoperire dirijată,</w:t>
            </w:r>
            <w:r w:rsidRPr="6EEC01BD" w:rsidR="41F14406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>activităţi</w:t>
            </w:r>
            <w:r w:rsidRPr="6EEC01BD" w:rsidR="69725823">
              <w:rPr>
                <w:rFonts w:ascii="Cambria" w:hAnsi="Cambria" w:eastAsia="Calibri" w:cs="Times New Roman"/>
                <w:sz w:val="20"/>
                <w:szCs w:val="20"/>
              </w:rPr>
              <w:t xml:space="preserve"> de grup</w:t>
            </w:r>
          </w:p>
        </w:tc>
        <w:tc>
          <w:tcPr>
            <w:tcW w:w="3321" w:type="dxa"/>
            <w:tcMar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EEC01BD" w14:paraId="047DE1FD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2A3A93" w:rsidP="002A3A93" w:rsidRDefault="00600874" w14:paraId="75A36083" w14:textId="7017F7C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  <w:r w:rsidRPr="6EEC01BD" w:rsidR="34A65EA7">
              <w:rPr>
                <w:rFonts w:ascii="Cambria" w:hAnsi="Cambria" w:eastAsia="Calibri" w:cs="Times New Roman"/>
                <w:sz w:val="20"/>
                <w:szCs w:val="20"/>
              </w:rPr>
              <w:t xml:space="preserve"> Identitate vocațională și adaptabilitate în carieră în adolescență</w:t>
            </w:r>
          </w:p>
        </w:tc>
        <w:tc>
          <w:tcPr>
            <w:tcW w:w="2580" w:type="dxa"/>
            <w:tcMar/>
            <w:vAlign w:val="center"/>
          </w:tcPr>
          <w:p w:rsidRPr="002A3A93" w:rsidR="002A3A93" w:rsidP="002A3A93" w:rsidRDefault="002A3A93" w14:paraId="17BA7C53" w14:textId="716A4ED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087791E1">
              <w:rPr>
                <w:rFonts w:ascii="Cambria" w:hAnsi="Cambria" w:eastAsia="Calibri" w:cs="Times New Roman"/>
                <w:sz w:val="20"/>
                <w:szCs w:val="20"/>
              </w:rPr>
              <w:t>expunerea, clarificare</w:t>
            </w:r>
            <w:r w:rsidRPr="6EEC01BD" w:rsidR="68CB4186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087791E1">
              <w:rPr>
                <w:rFonts w:ascii="Cambria" w:hAnsi="Cambria" w:eastAsia="Calibri" w:cs="Times New Roman"/>
                <w:sz w:val="20"/>
                <w:szCs w:val="20"/>
              </w:rPr>
              <w:t>conceptuală, exemplul</w:t>
            </w:r>
            <w:r w:rsidRPr="6EEC01BD" w:rsidR="6BF34573">
              <w:rPr>
                <w:rFonts w:ascii="Cambria" w:hAnsi="Cambria" w:eastAsia="Calibri" w:cs="Times New Roman"/>
                <w:sz w:val="20"/>
                <w:szCs w:val="20"/>
              </w:rPr>
              <w:t xml:space="preserve"> </w:t>
            </w:r>
            <w:r w:rsidRPr="6EEC01BD" w:rsidR="087791E1">
              <w:rPr>
                <w:rFonts w:ascii="Cambria" w:hAnsi="Cambria" w:eastAsia="Calibri" w:cs="Times New Roman"/>
                <w:sz w:val="20"/>
                <w:szCs w:val="20"/>
              </w:rPr>
              <w:t>demonstrativ, dezbatere</w:t>
            </w:r>
          </w:p>
        </w:tc>
        <w:tc>
          <w:tcPr>
            <w:tcW w:w="3321" w:type="dxa"/>
            <w:tcMar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6EEC01BD" w14:paraId="30D75F9C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2A3A93" w:rsidP="002A3A93" w:rsidRDefault="00600874" w14:paraId="6C53518B" w14:textId="0D457E2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  <w:r w:rsidRPr="6EEC01BD" w:rsidR="435F9512">
              <w:rPr>
                <w:rFonts w:ascii="Cambria" w:hAnsi="Cambria" w:eastAsia="Calibri" w:cs="Times New Roman"/>
                <w:sz w:val="20"/>
                <w:szCs w:val="20"/>
              </w:rPr>
              <w:t xml:space="preserve"> Stadialitate în dezvoltarea carierei</w:t>
            </w:r>
          </w:p>
        </w:tc>
        <w:tc>
          <w:tcPr>
            <w:tcW w:w="2580" w:type="dxa"/>
            <w:tcMar/>
            <w:vAlign w:val="center"/>
          </w:tcPr>
          <w:p w:rsidRPr="002A3A93" w:rsidR="002A3A93" w:rsidP="6EEC01BD" w:rsidRDefault="002A3A93" w14:paraId="536C28E5" w14:textId="3C38E179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54B71765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Mar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6EEC01BD" w14:paraId="3230047B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600874" w:rsidP="6EEC01BD" w:rsidRDefault="00600874" w14:paraId="77044150" w14:textId="1A08FE76">
            <w:pPr>
              <w:spacing w:after="0" w:line="240" w:lineRule="auto"/>
              <w:rPr>
                <w:rFonts w:ascii="Cambria" w:hAnsi="Cambria" w:eastAsia="Calibri" w:cs="Times New Roman"/>
                <w:sz w:val="20"/>
                <w:szCs w:val="20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  <w:r w:rsidR="1D13C001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1D13C001">
              <w:rPr>
                <w:rFonts w:ascii="Cambria" w:hAnsi="Cambria" w:eastAsia="Calibri" w:cs="Times New Roman"/>
                <w:sz w:val="20"/>
                <w:szCs w:val="20"/>
              </w:rPr>
              <w:t>Dezvoltare vocațională între intenționalitate și</w:t>
            </w:r>
          </w:p>
          <w:p w:rsidRPr="002A3A93" w:rsidR="00600874" w:rsidP="6EEC01BD" w:rsidRDefault="00600874" w14:paraId="1293D4D8" w14:textId="78727D0D">
            <w:pPr>
              <w:pStyle w:val="Normal"/>
              <w:spacing w:after="0" w:line="240" w:lineRule="auto"/>
            </w:pPr>
            <w:r w:rsidRPr="6EEC01BD" w:rsidR="1D13C001">
              <w:rPr>
                <w:rFonts w:ascii="Cambria" w:hAnsi="Cambria" w:eastAsia="Calibri" w:cs="Times New Roman"/>
                <w:sz w:val="20"/>
                <w:szCs w:val="20"/>
              </w:rPr>
              <w:t>limitări socio-economice</w:t>
            </w:r>
          </w:p>
        </w:tc>
        <w:tc>
          <w:tcPr>
            <w:tcW w:w="2580" w:type="dxa"/>
            <w:tcMar/>
            <w:vAlign w:val="center"/>
          </w:tcPr>
          <w:p w:rsidRPr="002A3A93" w:rsidR="00600874" w:rsidP="6EEC01BD" w:rsidRDefault="00600874" w14:paraId="4C591C63" w14:textId="714082F9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4F0C3C27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Mar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6EEC01BD" w14:paraId="3A5283A5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600874" w:rsidP="002A3A93" w:rsidRDefault="00600874" w14:paraId="0223079D" w14:textId="6E3E042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  <w:r w:rsidR="066F836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066F8363">
              <w:rPr>
                <w:rFonts w:ascii="Cambria" w:hAnsi="Cambria" w:eastAsia="Calibri" w:cs="Times New Roman"/>
                <w:sz w:val="20"/>
                <w:szCs w:val="20"/>
              </w:rPr>
              <w:t>Abordări socio-cognitive ale dezvoltării carierei</w:t>
            </w:r>
          </w:p>
        </w:tc>
        <w:tc>
          <w:tcPr>
            <w:tcW w:w="2580" w:type="dxa"/>
            <w:tcMar/>
            <w:vAlign w:val="center"/>
          </w:tcPr>
          <w:p w:rsidRPr="002A3A93" w:rsidR="00600874" w:rsidP="6EEC01BD" w:rsidRDefault="00600874" w14:paraId="14E7CFDB" w14:textId="56C3B827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249FD420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Mar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6EEC01BD" w14:paraId="0A0F525E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2A3A93" w:rsidR="00600874" w:rsidP="002A3A93" w:rsidRDefault="00600874" w14:paraId="0FE7513D" w14:textId="7AB17D6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  <w:r w:rsidR="63AC8EFB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63AC8EFB">
              <w:rPr>
                <w:rFonts w:ascii="Cambria" w:hAnsi="Cambria" w:eastAsia="Calibri" w:cs="Times New Roman"/>
                <w:sz w:val="20"/>
                <w:szCs w:val="20"/>
              </w:rPr>
              <w:t>Luarea deciziilor legate de carieră</w:t>
            </w:r>
          </w:p>
        </w:tc>
        <w:tc>
          <w:tcPr>
            <w:tcW w:w="2580" w:type="dxa"/>
            <w:tcMar/>
            <w:vAlign w:val="center"/>
          </w:tcPr>
          <w:p w:rsidRPr="002A3A93" w:rsidR="00600874" w:rsidP="6EEC01BD" w:rsidRDefault="00600874" w14:paraId="38243953" w14:textId="73C39E3A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249FD420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Mar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C01BD" w14:paraId="004A8D06" w14:textId="77777777">
        <w:trPr>
          <w:trHeight w:val="284"/>
        </w:trPr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600874" w14:paraId="0CE6DDB6" w14:textId="2F05CA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</w:t>
            </w:r>
            <w:r w:rsidR="5C0008C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5C0008C4">
              <w:rPr>
                <w:rFonts w:ascii="Cambria" w:hAnsi="Cambria" w:eastAsia="Calibri" w:cs="Times New Roman"/>
                <w:sz w:val="20"/>
                <w:szCs w:val="20"/>
              </w:rPr>
              <w:t>Intervenții fundamentate empiric de consiliere în carieră și dezvoltare a carierei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6EEC01BD" w:rsidRDefault="003F659E" w14:paraId="0FD44D03" w14:textId="63DB326A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32A9B000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6EEC01BD" w14:paraId="5AAEECBA" w14:textId="77777777">
        <w:trPr>
          <w:trHeight w:val="284"/>
        </w:trPr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600874" w:rsidP="00373CCF" w:rsidRDefault="00600874" w14:paraId="34919EF7" w14:textId="546475C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  <w:r w:rsidR="6F6211C9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6F6211C9">
              <w:rPr>
                <w:rFonts w:ascii="Cambria" w:hAnsi="Cambria" w:eastAsia="Calibri" w:cs="Times New Roman"/>
                <w:sz w:val="20"/>
                <w:szCs w:val="20"/>
              </w:rPr>
              <w:t>Interese, abilităţi şi valori personale şi profesionale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600874" w:rsidP="6EEC01BD" w:rsidRDefault="00600874" w14:paraId="518C2C1E" w14:textId="68F1DDF7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32A9B000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C01BD" w14:paraId="3D0D45CE" w14:textId="77777777">
        <w:trPr>
          <w:trHeight w:val="284"/>
        </w:trPr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600874" w14:paraId="4710D4C1" w14:textId="62532120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  <w:r w:rsidR="53D14711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53D14711">
              <w:rPr>
                <w:rFonts w:ascii="Cambria" w:hAnsi="Cambria" w:eastAsia="Calibri" w:cs="Times New Roman"/>
                <w:sz w:val="20"/>
                <w:szCs w:val="20"/>
              </w:rPr>
              <w:t>Managementul tranziţiei de la şcoală la muncă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6EEC01BD" w:rsidRDefault="003F659E" w14:paraId="6BBEC515" w14:textId="17F2CC49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095DDCE1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C01BD" w14:paraId="245D3C71" w14:textId="77777777">
        <w:trPr>
          <w:trHeight w:val="284"/>
        </w:trPr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600874" w14:paraId="413BBB10" w14:textId="0426A9F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  <w:r w:rsidR="6B66E412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 xml:space="preserve">Consilierea 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>şi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 xml:space="preserve"> orientarea în carieră a 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>clienţilor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 xml:space="preserve"> cu 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>dificultăţi</w:t>
            </w:r>
            <w:r w:rsidRPr="6EEC01BD" w:rsidR="6B66E412">
              <w:rPr>
                <w:rFonts w:ascii="Cambria" w:hAnsi="Cambria" w:eastAsia="Calibri" w:cs="Times New Roman"/>
                <w:sz w:val="20"/>
                <w:szCs w:val="20"/>
              </w:rPr>
              <w:t xml:space="preserve"> legate de managementul carierei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6EEC01BD" w:rsidRDefault="003F659E" w14:paraId="2B843CBD" w14:textId="68D0302A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30973829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6EEC01BD" w14:paraId="05A36399" w14:textId="77777777">
        <w:trPr>
          <w:trHeight w:val="284"/>
        </w:trPr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600874" w14:paraId="27E482FC" w14:textId="334692B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="00600874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  <w:r w:rsidR="712A73F6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6EEC01BD" w:rsidR="712A73F6">
              <w:rPr>
                <w:rFonts w:ascii="Cambria" w:hAnsi="Cambria" w:eastAsia="Calibri" w:cs="Times New Roman"/>
                <w:sz w:val="20"/>
                <w:szCs w:val="20"/>
              </w:rPr>
              <w:t>Curs de recapitulare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6EEC01BD" w:rsidRDefault="003F659E" w14:paraId="0481BF6A" w14:textId="141DE179">
            <w:pPr>
              <w:pStyle w:val="Normal"/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6EEC01BD" w:rsidR="271BF188">
              <w:rPr>
                <w:rFonts w:ascii="Cambria" w:hAnsi="Cambria" w:eastAsia="Calibri" w:cs="Times New Roman"/>
                <w:sz w:val="20"/>
                <w:szCs w:val="20"/>
              </w:rPr>
              <w:t>expunerea, clarificare conceptuală, exemplul demonstrativ, dezbatere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6EEC01BD" w14:paraId="6DEC7BC6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6EEC01BD" w:rsidRDefault="003F659E" w14:paraId="7B33A1D5" w14:textId="492AD6A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4F32E18C">
              <w:rPr>
                <w:rFonts w:ascii="Cambria" w:hAnsi="Cambria"/>
                <w:sz w:val="20"/>
                <w:szCs w:val="20"/>
              </w:rPr>
              <w:t>Bibliografie</w:t>
            </w:r>
          </w:p>
          <w:p w:rsidRPr="00C02345" w:rsidR="003F659E" w:rsidP="6EEC01BD" w:rsidRDefault="003F659E" w14:paraId="63174429" w14:textId="02AF3B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Negru-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Subtirica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, O. (2024). Educational identity processes in adolescence: An analysis of longitudinal</w:t>
            </w:r>
            <w:r w:rsidRPr="6EEC01BD" w:rsidR="43EEDCD5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evidence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and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the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role of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educational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systems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Child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Development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Perspectives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, 18(2), 97-103.</w:t>
            </w:r>
            <w:r w:rsidRPr="6EEC01BD" w:rsidR="147D556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https://doi.org/10.1111/cdep.12504</w:t>
            </w:r>
          </w:p>
          <w:p w:rsidRPr="00C02345" w:rsidR="003F659E" w:rsidP="6EEC01BD" w:rsidRDefault="003F659E" w14:paraId="4D2D41F9" w14:textId="5E03B39A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146C3E45" w14:textId="25AA0394">
            <w:pPr>
              <w:pStyle w:val="Normal"/>
              <w:spacing w:after="0" w:line="240" w:lineRule="auto"/>
            </w:pPr>
            <w:r w:rsidRPr="6EEC01BD" w:rsidR="10654592">
              <w:rPr>
                <w:rFonts w:ascii="Cambria" w:hAnsi="Cambria"/>
                <w:sz w:val="20"/>
                <w:szCs w:val="20"/>
              </w:rPr>
              <w:t>Negru-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Subtirica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, O. (2017). Formarea identității și rosturile vieții: Despre sens și direcție. Editura ASCR,</w:t>
            </w:r>
            <w:r w:rsidRPr="6EEC01BD" w:rsidR="756E9FC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Cluj-Napoca. ISBN 978-606-977-007-8 (p. 11-19 și p. 32-49)</w:t>
            </w:r>
          </w:p>
          <w:p w:rsidRPr="00C02345" w:rsidR="003F659E" w:rsidP="6EEC01BD" w:rsidRDefault="003F659E" w14:paraId="18B29011" w14:textId="11B0D0AE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0C5628F9" w14:textId="75EB0DC2">
            <w:pPr>
              <w:pStyle w:val="Normal"/>
              <w:spacing w:after="0" w:line="240" w:lineRule="auto"/>
            </w:pP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Skorikov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, V. B. &amp; Vondracek, F. W. (2011). Occupational identity. In: S. J. Schwartz, K. Luyckx &amp; V.</w:t>
            </w:r>
            <w:r w:rsidRPr="6EEC01BD" w:rsidR="3F63E210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L.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Vignoles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Eds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.),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Handbook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of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identity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theory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and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research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(pp. 693-714). New York: Springer.</w:t>
            </w:r>
            <w:r w:rsidRPr="6EEC01BD" w:rsidR="55B65921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(Curs 2)</w:t>
            </w:r>
          </w:p>
          <w:p w:rsidRPr="00C02345" w:rsidR="003F659E" w:rsidP="6EEC01BD" w:rsidRDefault="003F659E" w14:paraId="49EC3B17" w14:textId="3E11BB3E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0787D09B" w14:textId="489AD1F5">
            <w:pPr>
              <w:pStyle w:val="Normal"/>
              <w:spacing w:after="0" w:line="240" w:lineRule="auto"/>
            </w:pP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Suport de curs pentru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învăţământ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 la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distanţă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 Consiliere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şcolară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şi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 orientare în carieră – Modul 2: Perspective</w:t>
            </w:r>
            <w:r w:rsidRPr="6EEC01BD" w:rsidR="22882A00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teoretice majore în psihologia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vocaţională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 (Curs 4, Curs 6, Curs 7)</w:t>
            </w:r>
          </w:p>
          <w:p w:rsidRPr="00C02345" w:rsidR="003F659E" w:rsidP="6EEC01BD" w:rsidRDefault="003F659E" w14:paraId="59F6BC48" w14:textId="2F7AB53E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28407643" w14:textId="2827CFAC">
            <w:pPr>
              <w:pStyle w:val="Normal"/>
              <w:spacing w:after="0" w:line="240" w:lineRule="auto"/>
            </w:pP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Negru-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Subtirica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, O., Timar-Anton, C.,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Marinica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, B., &amp; Glavan, B. (2021). How Poverty Affects Youth</w:t>
            </w:r>
            <w:r w:rsidRPr="6EEC01BD" w:rsidR="2E280A3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Development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From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Social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Inequalities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to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Social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Inclusion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. In O. Negru-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Subtirica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&amp; E.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Crocetti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(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Eds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.),</w:t>
            </w:r>
            <w:r w:rsidRPr="6EEC01BD" w:rsidR="5E41D20B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Building inclusive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societies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Promoting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social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inclusion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and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reducing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>discrimination</w:t>
            </w:r>
            <w:r w:rsidRPr="6EEC01BD" w:rsidR="10654592">
              <w:rPr>
                <w:rFonts w:ascii="Cambria" w:hAnsi="Cambria"/>
                <w:sz w:val="20"/>
                <w:szCs w:val="20"/>
                <w:lang w:val="en-US"/>
              </w:rPr>
              <w:t xml:space="preserve"> (BUILD). ASCR</w:t>
            </w:r>
            <w:r w:rsidRPr="6EEC01BD" w:rsidR="4495B2C0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Publishing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House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. (Curs 5)</w:t>
            </w:r>
          </w:p>
          <w:p w:rsidRPr="00C02345" w:rsidR="003F659E" w:rsidP="6EEC01BD" w:rsidRDefault="003F659E" w14:paraId="7DCB23C1" w14:textId="0BC7CD39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0D9EF0F0" w14:textId="4FAEA131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10654592">
              <w:rPr>
                <w:rFonts w:ascii="Cambria" w:hAnsi="Cambria"/>
                <w:sz w:val="20"/>
                <w:szCs w:val="20"/>
              </w:rPr>
              <w:t>Brown, S. D., &amp; Lent, R. W. (2016). Vocational psychology: Agency, equity, and well-being. Annual</w:t>
            </w:r>
            <w:r w:rsidRPr="6EEC01BD" w:rsidR="694435F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Review of 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>Psychology</w:t>
            </w:r>
            <w:r w:rsidRPr="6EEC01BD" w:rsidR="10654592">
              <w:rPr>
                <w:rFonts w:ascii="Cambria" w:hAnsi="Cambria"/>
                <w:sz w:val="20"/>
                <w:szCs w:val="20"/>
              </w:rPr>
              <w:t xml:space="preserve">, 67, 541-565. (Curs 5, Curs 6) </w:t>
            </w:r>
          </w:p>
          <w:p w:rsidRPr="00C02345" w:rsidR="003F659E" w:rsidP="6EEC01BD" w:rsidRDefault="003F659E" w14:paraId="0E08822A" w14:textId="02FA4A00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44FEECFF" w14:textId="43460A8D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10654592">
              <w:rPr>
                <w:rFonts w:ascii="Cambria" w:hAnsi="Cambria"/>
                <w:sz w:val="20"/>
                <w:szCs w:val="20"/>
              </w:rPr>
              <w:t>MATERIAL BIBLIOGRAFIC OPȚIONAL</w:t>
            </w:r>
          </w:p>
          <w:p w:rsidRPr="00C02345" w:rsidR="003F659E" w:rsidP="6EEC01BD" w:rsidRDefault="003F659E" w14:paraId="28D0D0F1" w14:textId="7D5B87A2">
            <w:pPr>
              <w:pStyle w:val="Normal"/>
              <w:spacing w:after="0" w:line="240" w:lineRule="auto"/>
            </w:pPr>
            <w:r w:rsidRPr="6EEC01BD" w:rsidR="10654592">
              <w:rPr>
                <w:rFonts w:ascii="Cambria" w:hAnsi="Cambria"/>
                <w:sz w:val="20"/>
                <w:szCs w:val="20"/>
              </w:rPr>
              <w:t>Notă: Din lucrările menţionate mai sus este obligatorie doar parcurgerea capitolelor aferente temelor predate</w:t>
            </w:r>
          </w:p>
        </w:tc>
      </w:tr>
      <w:tr w:rsidRPr="00C02345" w:rsidR="008C28C6" w:rsidTr="6EEC01BD" w14:paraId="724C172F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2580" w:type="dxa"/>
            <w:tcMar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3321" w:type="dxa"/>
            <w:tcMar/>
            <w:vAlign w:val="center"/>
          </w:tcPr>
          <w:p w:rsidRPr="00600874" w:rsidR="003F659E" w:rsidP="00373CCF" w:rsidRDefault="003F659E" w14:paraId="0DCC5100" w14:textId="363158CE">
            <w:pPr>
              <w:spacing w:after="0"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6EEC01BD" w:rsidR="4F32E18C">
              <w:rPr>
                <w:rFonts w:ascii="Cambria" w:hAnsi="Cambria"/>
                <w:b w:val="1"/>
                <w:bCs w:val="1"/>
                <w:sz w:val="20"/>
                <w:szCs w:val="20"/>
              </w:rPr>
              <w:t>Observații</w:t>
            </w:r>
            <w:r w:rsidRPr="6EEC01BD" w:rsidR="766BCB2A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 (de citit pentru seminar)</w:t>
            </w:r>
          </w:p>
        </w:tc>
      </w:tr>
      <w:tr w:rsidRPr="00C02345" w:rsidR="008C28C6" w:rsidTr="6EEC01BD" w14:paraId="74734A45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3F659E" w:rsidP="6EEC01BD" w:rsidRDefault="00600874" w14:paraId="1D537563" w14:textId="687FB39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Aspecte introductive, administrative; sarcina de semestru.</w:t>
            </w:r>
          </w:p>
          <w:p w:rsidRPr="00C02345" w:rsidR="003F659E" w:rsidP="00373CCF" w:rsidRDefault="00600874" w14:paraId="6C224A07" w14:textId="72EE07F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0" w:type="dxa"/>
            <w:tcMar/>
            <w:vAlign w:val="center"/>
          </w:tcPr>
          <w:p w:rsidRPr="00C02345" w:rsidR="003F659E" w:rsidP="6EEC01BD" w:rsidRDefault="003F659E" w14:paraId="47146BCB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C988FDB">
              <w:rPr>
                <w:rFonts w:ascii="Cambria" w:hAnsi="Cambria"/>
                <w:sz w:val="20"/>
                <w:szCs w:val="20"/>
              </w:rPr>
              <w:t xml:space="preserve">sinteza </w:t>
            </w:r>
            <w:r w:rsidRPr="6EEC01BD" w:rsidR="2C988FDB">
              <w:rPr>
                <w:rFonts w:ascii="Cambria" w:hAnsi="Cambria"/>
                <w:sz w:val="20"/>
                <w:szCs w:val="20"/>
              </w:rPr>
              <w:t>cunoştinţelor</w:t>
            </w:r>
            <w:r w:rsidRPr="6EEC01BD" w:rsidR="2C988FDB">
              <w:rPr>
                <w:rFonts w:ascii="Cambria" w:hAnsi="Cambria"/>
                <w:sz w:val="20"/>
                <w:szCs w:val="20"/>
              </w:rPr>
              <w:t>, clarificarea</w:t>
            </w:r>
          </w:p>
          <w:p w:rsidRPr="00C02345" w:rsidR="003F659E" w:rsidP="6EEC01BD" w:rsidRDefault="003F659E" w14:paraId="017FC9CA" w14:textId="6DD944BF">
            <w:pPr>
              <w:pStyle w:val="Normal"/>
              <w:spacing w:after="0" w:line="240" w:lineRule="auto"/>
            </w:pPr>
            <w:r w:rsidRPr="6EEC01BD" w:rsidR="2C988FDB">
              <w:rPr>
                <w:rFonts w:ascii="Cambria" w:hAnsi="Cambria"/>
                <w:sz w:val="20"/>
                <w:szCs w:val="20"/>
              </w:rPr>
              <w:t xml:space="preserve">conceptuală, </w:t>
            </w:r>
            <w:r w:rsidRPr="6EEC01BD" w:rsidR="2C988FDB">
              <w:rPr>
                <w:rFonts w:ascii="Cambria" w:hAnsi="Cambria"/>
                <w:sz w:val="20"/>
                <w:szCs w:val="20"/>
              </w:rPr>
              <w:t xml:space="preserve">activităţi </w:t>
            </w:r>
            <w:r w:rsidRPr="6EEC01BD" w:rsidR="2C988FDB">
              <w:rPr>
                <w:rFonts w:ascii="Cambria" w:hAnsi="Cambria"/>
                <w:sz w:val="20"/>
                <w:szCs w:val="20"/>
              </w:rPr>
              <w:t xml:space="preserve">de grup, </w:t>
            </w:r>
            <w:r w:rsidRPr="6EEC01BD" w:rsidR="2C988FDB">
              <w:rPr>
                <w:rFonts w:ascii="Cambria" w:hAnsi="Cambria"/>
                <w:sz w:val="20"/>
                <w:szCs w:val="20"/>
              </w:rPr>
              <w:t>conversaţia</w:t>
            </w:r>
            <w:r w:rsidRPr="6EEC01BD" w:rsidR="2C988FDB">
              <w:rPr>
                <w:rFonts w:ascii="Cambria" w:hAnsi="Cambria"/>
                <w:sz w:val="20"/>
                <w:szCs w:val="20"/>
              </w:rPr>
              <w:t>,</w:t>
            </w:r>
          </w:p>
          <w:p w:rsidRPr="00C02345" w:rsidR="003F659E" w:rsidP="6EEC01BD" w:rsidRDefault="003F659E" w14:paraId="7A7ED45E" w14:textId="3B48A2D1">
            <w:pPr>
              <w:pStyle w:val="Normal"/>
              <w:spacing w:after="0" w:line="240" w:lineRule="auto"/>
            </w:pPr>
            <w:r w:rsidRPr="6EEC01BD" w:rsidR="2C988FDB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6EEC01BD" w14:paraId="058026E7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3F659E" w:rsidP="6EEC01BD" w:rsidRDefault="00600874" w14:paraId="3EA9C327" w14:textId="7716A0F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Dificultăți în luarea deciziilor de carieră. Aplicații practice.</w:t>
            </w:r>
          </w:p>
          <w:p w:rsidRPr="00C02345" w:rsidR="003F659E" w:rsidP="00373CCF" w:rsidRDefault="00600874" w14:paraId="05F51FCC" w14:textId="0B8F64D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0" w:type="dxa"/>
            <w:tcMar/>
            <w:vAlign w:val="center"/>
          </w:tcPr>
          <w:p w:rsidRPr="00C02345" w:rsidR="003F659E" w:rsidP="6EEC01BD" w:rsidRDefault="003F659E" w14:paraId="1C5A4323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80614F1">
              <w:rPr>
                <w:rFonts w:ascii="Cambria" w:hAnsi="Cambria"/>
                <w:sz w:val="20"/>
                <w:szCs w:val="20"/>
              </w:rPr>
              <w:t>sinteza cunoştinţelor, clarificarea</w:t>
            </w:r>
          </w:p>
          <w:p w:rsidRPr="00C02345" w:rsidR="003F659E" w:rsidP="6EEC01BD" w:rsidRDefault="003F659E" w14:paraId="4D665BFD" w14:textId="6DD944BF">
            <w:pPr>
              <w:pStyle w:val="Normal"/>
              <w:spacing w:after="0" w:line="240" w:lineRule="auto"/>
            </w:pPr>
            <w:r w:rsidRPr="6EEC01BD" w:rsidR="280614F1">
              <w:rPr>
                <w:rFonts w:ascii="Cambria" w:hAnsi="Cambria"/>
                <w:sz w:val="20"/>
                <w:szCs w:val="20"/>
              </w:rPr>
              <w:t>conceptuală, activităţi de grup, conversaţia,</w:t>
            </w:r>
          </w:p>
          <w:p w:rsidRPr="00C02345" w:rsidR="003F659E" w:rsidP="6EEC01BD" w:rsidRDefault="003F659E" w14:paraId="27D189C9" w14:textId="6F8F1E3F">
            <w:pPr>
              <w:pStyle w:val="Normal"/>
              <w:spacing w:after="0" w:line="240" w:lineRule="auto"/>
            </w:pPr>
            <w:r w:rsidRPr="6EEC01BD" w:rsidR="280614F1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3F659E" w:rsidP="6EEC01BD" w:rsidRDefault="003F659E" w14:paraId="3DD50BED" w14:textId="60AFC60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5E069B4A">
              <w:rPr>
                <w:rFonts w:ascii="Cambria" w:hAnsi="Cambria"/>
                <w:sz w:val="20"/>
                <w:szCs w:val="20"/>
              </w:rPr>
              <w:t>Din modulul 2 al suportului</w:t>
            </w:r>
          </w:p>
          <w:p w:rsidRPr="00C02345" w:rsidR="003F659E" w:rsidP="6EEC01BD" w:rsidRDefault="003F659E" w14:paraId="6E81BF3E" w14:textId="666D0F2A">
            <w:pPr>
              <w:pStyle w:val="Normal"/>
              <w:spacing w:after="0" w:line="240" w:lineRule="auto"/>
            </w:pPr>
            <w:r w:rsidRPr="6EEC01BD" w:rsidR="5E069B4A">
              <w:rPr>
                <w:rFonts w:ascii="Cambria" w:hAnsi="Cambria"/>
                <w:sz w:val="20"/>
                <w:szCs w:val="20"/>
              </w:rPr>
              <w:t>de curs: 3.2. Teoria</w:t>
            </w:r>
          </w:p>
          <w:p w:rsidRPr="00C02345" w:rsidR="003F659E" w:rsidP="6EEC01BD" w:rsidRDefault="003F659E" w14:paraId="4412C093" w14:textId="624F17E8">
            <w:pPr>
              <w:pStyle w:val="Normal"/>
              <w:spacing w:after="0" w:line="240" w:lineRule="auto"/>
            </w:pPr>
            <w:r w:rsidRPr="6EEC01BD" w:rsidR="5E069B4A">
              <w:rPr>
                <w:rFonts w:ascii="Cambria" w:hAnsi="Cambria"/>
                <w:sz w:val="20"/>
                <w:szCs w:val="20"/>
              </w:rPr>
              <w:t>procesării informaţiior legate</w:t>
            </w:r>
          </w:p>
          <w:p w:rsidRPr="00C02345" w:rsidR="003F659E" w:rsidP="6EEC01BD" w:rsidRDefault="003F659E" w14:paraId="2C9FB219" w14:textId="7D3CBD7B">
            <w:pPr>
              <w:pStyle w:val="Normal"/>
              <w:spacing w:after="0" w:line="240" w:lineRule="auto"/>
            </w:pPr>
            <w:r w:rsidRPr="6EEC01BD" w:rsidR="5E069B4A">
              <w:rPr>
                <w:rFonts w:ascii="Cambria" w:hAnsi="Cambria"/>
                <w:sz w:val="20"/>
                <w:szCs w:val="20"/>
              </w:rPr>
              <w:t>de carieră</w:t>
            </w:r>
          </w:p>
        </w:tc>
      </w:tr>
      <w:tr w:rsidRPr="00C02345" w:rsidR="00600874" w:rsidTr="6EEC01BD" w14:paraId="352A51F8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600874" w:rsidP="6EEC01BD" w:rsidRDefault="00600874" w14:paraId="5174FF95" w14:textId="77FBA0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Promovarea egalității de gen prin adresarea stereotipurilor.</w:t>
            </w:r>
          </w:p>
          <w:p w:rsidRPr="00C02345" w:rsidR="00600874" w:rsidP="00373CCF" w:rsidRDefault="00600874" w14:paraId="49EB0B53" w14:textId="0CEE64C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0" w:type="dxa"/>
            <w:tcMar/>
            <w:vAlign w:val="center"/>
          </w:tcPr>
          <w:p w:rsidRPr="00C02345" w:rsidR="00600874" w:rsidP="6EEC01BD" w:rsidRDefault="00600874" w14:paraId="5A800996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3077E381">
              <w:rPr>
                <w:rFonts w:ascii="Cambria" w:hAnsi="Cambria"/>
                <w:sz w:val="20"/>
                <w:szCs w:val="20"/>
              </w:rPr>
              <w:t>sinteza cunoştinţelor, clarificarea</w:t>
            </w:r>
          </w:p>
          <w:p w:rsidRPr="00C02345" w:rsidR="00600874" w:rsidP="6EEC01BD" w:rsidRDefault="00600874" w14:paraId="61DA091A" w14:textId="6DD944BF">
            <w:pPr>
              <w:pStyle w:val="Normal"/>
              <w:spacing w:after="0" w:line="240" w:lineRule="auto"/>
            </w:pPr>
            <w:r w:rsidRPr="6EEC01BD" w:rsidR="3077E381">
              <w:rPr>
                <w:rFonts w:ascii="Cambria" w:hAnsi="Cambria"/>
                <w:sz w:val="20"/>
                <w:szCs w:val="20"/>
              </w:rPr>
              <w:t>conceptuală, activităţi de grup, conversaţia,</w:t>
            </w:r>
          </w:p>
          <w:p w:rsidRPr="00C02345" w:rsidR="00600874" w:rsidP="6EEC01BD" w:rsidRDefault="00600874" w14:paraId="591E56ED" w14:textId="436D57D2">
            <w:pPr>
              <w:pStyle w:val="Normal"/>
              <w:spacing w:after="0" w:line="240" w:lineRule="auto"/>
            </w:pPr>
            <w:r w:rsidRPr="6EEC01BD" w:rsidR="3077E381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00373CCF" w:rsidRDefault="00600874" w14:paraId="7BF9B1E3" w14:textId="16D85A8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3655889B">
              <w:rPr>
                <w:rFonts w:ascii="Cambria" w:hAnsi="Cambria"/>
                <w:sz w:val="20"/>
                <w:szCs w:val="20"/>
              </w:rPr>
              <w:t>Erentaitė et al., 2021</w:t>
            </w:r>
          </w:p>
        </w:tc>
      </w:tr>
      <w:tr w:rsidRPr="00C02345" w:rsidR="00600874" w:rsidTr="6EEC01BD" w14:paraId="0ADD8709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600874" w:rsidP="6EEC01BD" w:rsidRDefault="00600874" w14:paraId="6AD01D16" w14:textId="4935BF3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Identificarea şi combaterea miturilor legate de carieră.</w:t>
            </w:r>
          </w:p>
          <w:p w:rsidRPr="00C02345" w:rsidR="00600874" w:rsidP="00373CCF" w:rsidRDefault="00600874" w14:paraId="056B949F" w14:textId="5647CF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80" w:type="dxa"/>
            <w:tcMar/>
            <w:vAlign w:val="center"/>
          </w:tcPr>
          <w:p w:rsidRPr="00C02345" w:rsidR="00600874" w:rsidP="6EEC01BD" w:rsidRDefault="00600874" w14:paraId="23E3E996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E9D34F0">
              <w:rPr>
                <w:rFonts w:ascii="Cambria" w:hAnsi="Cambria"/>
                <w:sz w:val="20"/>
                <w:szCs w:val="20"/>
              </w:rPr>
              <w:t>sinteza cunoştinţelor, clarificarea</w:t>
            </w:r>
          </w:p>
          <w:p w:rsidRPr="00C02345" w:rsidR="00600874" w:rsidP="6EEC01BD" w:rsidRDefault="00600874" w14:paraId="4DD10671" w14:textId="6DD944BF">
            <w:pPr>
              <w:pStyle w:val="Normal"/>
              <w:spacing w:after="0" w:line="240" w:lineRule="auto"/>
            </w:pPr>
            <w:r w:rsidRPr="6EEC01BD" w:rsidR="2E9D34F0">
              <w:rPr>
                <w:rFonts w:ascii="Cambria" w:hAnsi="Cambria"/>
                <w:sz w:val="20"/>
                <w:szCs w:val="20"/>
              </w:rPr>
              <w:t>conceptuală, activităţi de grup, conversaţia,</w:t>
            </w:r>
          </w:p>
          <w:p w:rsidRPr="00C02345" w:rsidR="00600874" w:rsidP="6EEC01BD" w:rsidRDefault="00600874" w14:paraId="0B314852" w14:textId="6B9C35EE">
            <w:pPr>
              <w:pStyle w:val="Normal"/>
              <w:spacing w:after="0" w:line="240" w:lineRule="auto"/>
            </w:pPr>
            <w:r w:rsidRPr="6EEC01BD" w:rsidR="2E9D34F0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6EEC01BD" w14:paraId="549EAF22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600874" w:rsidP="00373CCF" w:rsidRDefault="00600874" w14:paraId="4C4BFD64" w14:textId="3B3355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Activități de autocunoaștere pentru dezvoltarea carierei: interese, abilități și personalitate.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6EEC01BD" w:rsidRDefault="00600874" w14:paraId="3D9171BF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5722CCBE">
              <w:rPr>
                <w:rFonts w:ascii="Cambria" w:hAnsi="Cambria"/>
                <w:sz w:val="20"/>
                <w:szCs w:val="20"/>
              </w:rPr>
              <w:t>sinteza cunoştinţelor, clarificarea</w:t>
            </w:r>
          </w:p>
          <w:p w:rsidRPr="00C02345" w:rsidR="00600874" w:rsidP="6EEC01BD" w:rsidRDefault="00600874" w14:paraId="25266728" w14:textId="6DD944BF">
            <w:pPr>
              <w:pStyle w:val="Normal"/>
              <w:spacing w:after="0" w:line="240" w:lineRule="auto"/>
            </w:pPr>
            <w:r w:rsidRPr="6EEC01BD" w:rsidR="5722CCBE">
              <w:rPr>
                <w:rFonts w:ascii="Cambria" w:hAnsi="Cambria"/>
                <w:sz w:val="20"/>
                <w:szCs w:val="20"/>
              </w:rPr>
              <w:t>conceptuală, activităţi de grup, conversaţia,</w:t>
            </w:r>
          </w:p>
          <w:p w:rsidRPr="00C02345" w:rsidR="00600874" w:rsidP="6EEC01BD" w:rsidRDefault="00600874" w14:paraId="1A44B7FA" w14:textId="1CAA1A97">
            <w:pPr>
              <w:pStyle w:val="Normal"/>
              <w:spacing w:after="0" w:line="240" w:lineRule="auto"/>
            </w:pPr>
            <w:r w:rsidRPr="6EEC01BD" w:rsidR="5722CCBE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6EEC01BD" w:rsidRDefault="00600874" w14:paraId="3CBA6B8F" w14:textId="130AAC3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3125DF54">
              <w:rPr>
                <w:rFonts w:ascii="Cambria" w:hAnsi="Cambria"/>
                <w:sz w:val="20"/>
                <w:szCs w:val="20"/>
              </w:rPr>
              <w:t>Din modulul 2 al</w:t>
            </w:r>
          </w:p>
          <w:p w:rsidRPr="00C02345" w:rsidR="00600874" w:rsidP="6EEC01BD" w:rsidRDefault="00600874" w14:paraId="09D39E4E" w14:textId="49408B48">
            <w:pPr>
              <w:pStyle w:val="Normal"/>
              <w:spacing w:after="0" w:line="240" w:lineRule="auto"/>
            </w:pPr>
            <w:r w:rsidRPr="6EEC01BD" w:rsidR="3125DF54">
              <w:rPr>
                <w:rFonts w:ascii="Cambria" w:hAnsi="Cambria"/>
                <w:sz w:val="20"/>
                <w:szCs w:val="20"/>
              </w:rPr>
              <w:t>suportului de curs: 1.</w:t>
            </w:r>
          </w:p>
          <w:p w:rsidRPr="00C02345" w:rsidR="00600874" w:rsidP="6EEC01BD" w:rsidRDefault="00600874" w14:paraId="506FCC78" w14:textId="0D40D695">
            <w:pPr>
              <w:pStyle w:val="Normal"/>
              <w:spacing w:after="0" w:line="240" w:lineRule="auto"/>
            </w:pPr>
            <w:r w:rsidRPr="6EEC01BD" w:rsidR="3125DF54">
              <w:rPr>
                <w:rFonts w:ascii="Cambria" w:hAnsi="Cambria"/>
                <w:sz w:val="20"/>
                <w:szCs w:val="20"/>
              </w:rPr>
              <w:t>Teoria corespondenţei</w:t>
            </w:r>
          </w:p>
          <w:p w:rsidRPr="00C02345" w:rsidR="00600874" w:rsidP="6EEC01BD" w:rsidRDefault="00600874" w14:paraId="5952B2B5" w14:textId="5FB46910">
            <w:pPr>
              <w:pStyle w:val="Normal"/>
              <w:spacing w:after="0" w:line="240" w:lineRule="auto"/>
            </w:pPr>
            <w:r w:rsidRPr="6EEC01BD" w:rsidR="3125DF54">
              <w:rPr>
                <w:rFonts w:ascii="Cambria" w:hAnsi="Cambria"/>
                <w:sz w:val="20"/>
                <w:szCs w:val="20"/>
              </w:rPr>
              <w:t>persoană-mediu</w:t>
            </w:r>
          </w:p>
        </w:tc>
      </w:tr>
      <w:tr w:rsidRPr="00C02345" w:rsidR="00600874" w:rsidTr="6EEC01BD" w14:paraId="20530750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600874" w:rsidP="6EEC01BD" w:rsidRDefault="00600874" w14:paraId="60C8D7B6" w14:textId="35E4055B">
            <w:pPr>
              <w:pStyle w:val="Normal"/>
              <w:spacing w:before="0" w:beforeAutospacing="off" w:after="0" w:afterAutospacing="off" w:line="240" w:lineRule="auto"/>
              <w:ind w:left="0"/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</w:pPr>
            <w:r w:rsidRPr="6EEC01BD" w:rsidR="62A7F0E4">
              <w:rPr>
                <w:rFonts w:ascii="Cambria" w:hAnsi="Cambria" w:eastAsia="Cambria" w:cs="Cambria"/>
                <w:noProof w:val="0"/>
                <w:sz w:val="20"/>
                <w:szCs w:val="20"/>
                <w:lang w:val="ro-RO"/>
              </w:rPr>
              <w:t>Adaptabilitatea în carieră. Aplicații practice.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6EEC01BD" w:rsidRDefault="00600874" w14:paraId="2F44877D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30994312">
              <w:rPr>
                <w:rFonts w:ascii="Cambria" w:hAnsi="Cambria"/>
                <w:sz w:val="20"/>
                <w:szCs w:val="20"/>
              </w:rPr>
              <w:t>sinteza cunoştinţelor, clarificarea</w:t>
            </w:r>
          </w:p>
          <w:p w:rsidRPr="00C02345" w:rsidR="00600874" w:rsidP="6EEC01BD" w:rsidRDefault="00600874" w14:paraId="62C1EDD0" w14:textId="6DD944BF">
            <w:pPr>
              <w:pStyle w:val="Normal"/>
              <w:spacing w:after="0" w:line="240" w:lineRule="auto"/>
            </w:pPr>
            <w:r w:rsidRPr="6EEC01BD" w:rsidR="30994312">
              <w:rPr>
                <w:rFonts w:ascii="Cambria" w:hAnsi="Cambria"/>
                <w:sz w:val="20"/>
                <w:szCs w:val="20"/>
              </w:rPr>
              <w:t>conceptuală, activităţi de grup, conversaţia,</w:t>
            </w:r>
          </w:p>
          <w:p w:rsidRPr="00C02345" w:rsidR="00600874" w:rsidP="6EEC01BD" w:rsidRDefault="00600874" w14:paraId="14084C0B" w14:textId="2AA56FFE">
            <w:pPr>
              <w:pStyle w:val="Normal"/>
              <w:spacing w:after="0" w:line="240" w:lineRule="auto"/>
            </w:pPr>
            <w:r w:rsidRPr="6EEC01BD" w:rsidR="30994312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00373CCF" w:rsidRDefault="00600874" w14:paraId="1D59FD31" w14:textId="7050A2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35E849EC">
              <w:rPr>
                <w:rFonts w:ascii="Cambria" w:hAnsi="Cambria"/>
                <w:sz w:val="20"/>
                <w:szCs w:val="20"/>
              </w:rPr>
              <w:t>Negru-Subțirică (2017) pag 44-49</w:t>
            </w:r>
          </w:p>
        </w:tc>
      </w:tr>
      <w:tr w:rsidRPr="00C02345" w:rsidR="00600874" w:rsidTr="6EEC01BD" w14:paraId="06015641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600874" w:rsidP="00373CCF" w:rsidRDefault="00600874" w14:paraId="2BE388BD" w14:textId="054664B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Aplicaţii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 xml:space="preserve"> ale abordării 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socio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-cognitive privind dezvoltarea carierei.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6EEC01BD" w:rsidRDefault="00600874" w14:paraId="492FDD9B" w14:textId="7902CB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4C5F4915">
              <w:rPr>
                <w:rFonts w:ascii="Cambria" w:hAnsi="Cambria"/>
                <w:sz w:val="20"/>
                <w:szCs w:val="20"/>
              </w:rPr>
              <w:t>sinteza cunoştinţelor, clarificarea</w:t>
            </w:r>
          </w:p>
          <w:p w:rsidRPr="00C02345" w:rsidR="00600874" w:rsidP="6EEC01BD" w:rsidRDefault="00600874" w14:paraId="3C255446" w14:textId="6DD944BF">
            <w:pPr>
              <w:pStyle w:val="Normal"/>
              <w:spacing w:after="0" w:line="240" w:lineRule="auto"/>
            </w:pPr>
            <w:r w:rsidRPr="6EEC01BD" w:rsidR="4C5F4915">
              <w:rPr>
                <w:rFonts w:ascii="Cambria" w:hAnsi="Cambria"/>
                <w:sz w:val="20"/>
                <w:szCs w:val="20"/>
              </w:rPr>
              <w:t>conceptuală, activităţi de grup, conversaţia,</w:t>
            </w:r>
          </w:p>
          <w:p w:rsidRPr="00C02345" w:rsidR="00600874" w:rsidP="6EEC01BD" w:rsidRDefault="00600874" w14:paraId="530193E6" w14:textId="5CC16144">
            <w:pPr>
              <w:pStyle w:val="Normal"/>
              <w:spacing w:after="0" w:line="240" w:lineRule="auto"/>
            </w:pPr>
            <w:r w:rsidRPr="6EEC01BD" w:rsidR="4C5F4915">
              <w:rPr>
                <w:rFonts w:ascii="Cambria" w:hAnsi="Cambria"/>
                <w:sz w:val="20"/>
                <w:szCs w:val="20"/>
              </w:rPr>
              <w:t>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6EEC01BD" w:rsidRDefault="00600874" w14:paraId="3747D27E" w14:textId="49A2B3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7221E4D7">
              <w:rPr>
                <w:rFonts w:ascii="Cambria" w:hAnsi="Cambria"/>
                <w:sz w:val="20"/>
                <w:szCs w:val="20"/>
              </w:rPr>
              <w:t xml:space="preserve">Din modulul 2 al suportului de curs: 3.1. Teoria </w:t>
            </w:r>
            <w:r w:rsidRPr="6EEC01BD" w:rsidR="7221E4D7">
              <w:rPr>
                <w:rFonts w:ascii="Cambria" w:hAnsi="Cambria"/>
                <w:sz w:val="20"/>
                <w:szCs w:val="20"/>
              </w:rPr>
              <w:t>socio</w:t>
            </w:r>
            <w:r w:rsidRPr="6EEC01BD" w:rsidR="7221E4D7">
              <w:rPr>
                <w:rFonts w:ascii="Cambria" w:hAnsi="Cambria"/>
                <w:sz w:val="20"/>
                <w:szCs w:val="20"/>
              </w:rPr>
              <w:t>-cognitivă a</w:t>
            </w:r>
          </w:p>
          <w:p w:rsidRPr="00C02345" w:rsidR="00600874" w:rsidP="6EEC01BD" w:rsidRDefault="00600874" w14:paraId="7E93C534" w14:textId="4D3A0581">
            <w:pPr>
              <w:pStyle w:val="Normal"/>
              <w:spacing w:after="0" w:line="240" w:lineRule="auto"/>
            </w:pPr>
            <w:r w:rsidRPr="6EEC01BD" w:rsidR="7221E4D7">
              <w:rPr>
                <w:rFonts w:ascii="Cambria" w:hAnsi="Cambria"/>
                <w:sz w:val="20"/>
                <w:szCs w:val="20"/>
              </w:rPr>
              <w:t>carierei</w:t>
            </w:r>
          </w:p>
        </w:tc>
      </w:tr>
      <w:tr w:rsidRPr="00C02345" w:rsidR="00600874" w:rsidTr="6EEC01BD" w14:paraId="5C62280D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600874" w:rsidP="00373CCF" w:rsidRDefault="00600874" w14:paraId="65D12236" w14:textId="3554DA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 xml:space="preserve">Dezvoltarea 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aspiraţiilor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ocupaţionale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 xml:space="preserve"> din perspectiva circumscrierii 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şi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 xml:space="preserve"> compromisului 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vocaţional</w:t>
            </w:r>
            <w:r w:rsidRPr="6EEC01BD" w:rsidR="62A7F0E4">
              <w:rPr>
                <w:rFonts w:ascii="Cambria" w:hAnsi="Cambria"/>
                <w:sz w:val="20"/>
                <w:szCs w:val="20"/>
              </w:rPr>
              <w:t>. Stereotipuri de carieră.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00373CCF" w:rsidRDefault="00600874" w14:paraId="231A5426" w14:textId="0D3A52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5420451B">
              <w:rPr>
                <w:rFonts w:ascii="Cambria" w:hAnsi="Cambria"/>
                <w:sz w:val="20"/>
                <w:szCs w:val="20"/>
              </w:rPr>
              <w:t>Evaluare pe parcurs, prezentarea orală, conversația, 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6EEC01BD" w:rsidRDefault="00600874" w14:paraId="18F1DA6B" w14:textId="5C2E591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90390C4">
              <w:rPr>
                <w:rFonts w:ascii="Cambria" w:hAnsi="Cambria"/>
                <w:sz w:val="20"/>
                <w:szCs w:val="20"/>
              </w:rPr>
              <w:t>Din modulul 2 al suportului</w:t>
            </w:r>
          </w:p>
          <w:p w:rsidRPr="00C02345" w:rsidR="00600874" w:rsidP="6EEC01BD" w:rsidRDefault="00600874" w14:paraId="441B0A2D" w14:textId="08468C47">
            <w:pPr>
              <w:pStyle w:val="Normal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90390C4">
              <w:rPr>
                <w:rFonts w:ascii="Cambria" w:hAnsi="Cambria"/>
                <w:sz w:val="20"/>
                <w:szCs w:val="20"/>
              </w:rPr>
              <w:t xml:space="preserve">de curs: 2.2. Teoria circumscrierii </w:t>
            </w:r>
            <w:r w:rsidRPr="6EEC01BD" w:rsidR="290390C4">
              <w:rPr>
                <w:rFonts w:ascii="Cambria" w:hAnsi="Cambria"/>
                <w:sz w:val="20"/>
                <w:szCs w:val="20"/>
              </w:rPr>
              <w:t>şi</w:t>
            </w:r>
            <w:r w:rsidRPr="6EEC01BD" w:rsidR="290390C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290390C4">
              <w:rPr>
                <w:rFonts w:ascii="Cambria" w:hAnsi="Cambria"/>
                <w:sz w:val="20"/>
                <w:szCs w:val="20"/>
              </w:rPr>
              <w:t>co</w:t>
            </w:r>
            <w:r w:rsidRPr="6EEC01BD" w:rsidR="290390C4">
              <w:rPr>
                <w:rFonts w:ascii="Cambria" w:hAnsi="Cambria"/>
                <w:sz w:val="20"/>
                <w:szCs w:val="20"/>
              </w:rPr>
              <w:t>mpromisului</w:t>
            </w:r>
          </w:p>
        </w:tc>
      </w:tr>
      <w:tr w:rsidRPr="00C02345" w:rsidR="00600874" w:rsidTr="6EEC01BD" w14:paraId="4A84667F" w14:textId="77777777">
        <w:trPr>
          <w:trHeight w:val="284"/>
        </w:trPr>
        <w:tc>
          <w:tcPr>
            <w:tcW w:w="4590" w:type="dxa"/>
            <w:tcMar/>
            <w:vAlign w:val="center"/>
          </w:tcPr>
          <w:p w:rsidR="00600874" w:rsidP="00373CCF" w:rsidRDefault="00600874" w14:paraId="630AE37C" w14:textId="4D129D5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Prezentări sarcină de semestru.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00373CCF" w:rsidRDefault="00600874" w14:paraId="33C60475" w14:textId="2339404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0B23C597">
              <w:rPr>
                <w:rFonts w:ascii="Cambria" w:hAnsi="Cambria"/>
                <w:sz w:val="20"/>
                <w:szCs w:val="20"/>
              </w:rPr>
              <w:t>Evaluare pe parcurs, prezentarea orală, conversația, 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6EEC01BD" w14:paraId="0E0C67B2" w14:textId="77777777">
        <w:trPr>
          <w:trHeight w:val="284"/>
        </w:trPr>
        <w:tc>
          <w:tcPr>
            <w:tcW w:w="4590" w:type="dxa"/>
            <w:tcMar/>
            <w:vAlign w:val="center"/>
          </w:tcPr>
          <w:p w:rsidR="00600874" w:rsidP="00373CCF" w:rsidRDefault="00600874" w14:paraId="2DA10BB3" w14:textId="5E916A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Prezentări sarcină de semestru.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00373CCF" w:rsidRDefault="00600874" w14:paraId="164AA55A" w14:textId="77F2976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44349F04">
              <w:rPr>
                <w:rFonts w:ascii="Cambria" w:hAnsi="Cambria"/>
                <w:sz w:val="20"/>
                <w:szCs w:val="20"/>
              </w:rPr>
              <w:t>Evaluare pe parcurs, prezentarea orală, conversația, 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6EEC01BD" w14:paraId="7084DE9B" w14:textId="77777777">
        <w:trPr>
          <w:trHeight w:val="284"/>
        </w:trPr>
        <w:tc>
          <w:tcPr>
            <w:tcW w:w="4590" w:type="dxa"/>
            <w:tcMar/>
            <w:vAlign w:val="center"/>
          </w:tcPr>
          <w:p w:rsidR="00600874" w:rsidP="00373CCF" w:rsidRDefault="00600874" w14:paraId="2467C6F7" w14:textId="6C55994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Prezentări sarcină de semestru.</w:t>
            </w:r>
          </w:p>
        </w:tc>
        <w:tc>
          <w:tcPr>
            <w:tcW w:w="2580" w:type="dxa"/>
            <w:tcMar/>
            <w:vAlign w:val="center"/>
          </w:tcPr>
          <w:p w:rsidRPr="00C02345" w:rsidR="00600874" w:rsidP="00373CCF" w:rsidRDefault="00600874" w14:paraId="3C48B850" w14:textId="6DE7102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1DEFB43C">
              <w:rPr>
                <w:rFonts w:ascii="Cambria" w:hAnsi="Cambria"/>
                <w:sz w:val="20"/>
                <w:szCs w:val="20"/>
              </w:rPr>
              <w:t>Evaluare pe parcurs, prezentarea orală, conversația, dezbaterea</w:t>
            </w:r>
          </w:p>
        </w:tc>
        <w:tc>
          <w:tcPr>
            <w:tcW w:w="3321" w:type="dxa"/>
            <w:tcMar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6EEC01BD" w14:paraId="7D7D415D" w14:textId="77777777">
        <w:trPr>
          <w:trHeight w:val="284"/>
        </w:trPr>
        <w:tc>
          <w:tcPr>
            <w:tcW w:w="4590" w:type="dxa"/>
            <w:tcMar/>
            <w:vAlign w:val="center"/>
          </w:tcPr>
          <w:p w:rsidRPr="00C02345" w:rsidR="003F659E" w:rsidP="00373CCF" w:rsidRDefault="00600874" w14:paraId="206119C7" w14:textId="0B01C07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62A7F0E4">
              <w:rPr>
                <w:rFonts w:ascii="Cambria" w:hAnsi="Cambria"/>
                <w:sz w:val="20"/>
                <w:szCs w:val="20"/>
              </w:rPr>
              <w:t>Recapitulare</w:t>
            </w:r>
          </w:p>
        </w:tc>
        <w:tc>
          <w:tcPr>
            <w:tcW w:w="2580" w:type="dxa"/>
            <w:tcMar/>
            <w:vAlign w:val="center"/>
          </w:tcPr>
          <w:p w:rsidRPr="00C02345" w:rsidR="003F659E" w:rsidP="6EEC01BD" w:rsidRDefault="003F659E" w14:paraId="33D43358" w14:textId="11933E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0768476D">
              <w:rPr>
                <w:rFonts w:ascii="Cambria" w:hAnsi="Cambria"/>
                <w:sz w:val="20"/>
                <w:szCs w:val="20"/>
              </w:rPr>
              <w:t>sinteza cunoştinţelor,</w:t>
            </w:r>
          </w:p>
          <w:p w:rsidRPr="00C02345" w:rsidR="003F659E" w:rsidP="6EEC01BD" w:rsidRDefault="003F659E" w14:paraId="4826A110" w14:textId="6985D66B">
            <w:pPr>
              <w:pStyle w:val="Normal"/>
              <w:spacing w:after="0" w:line="240" w:lineRule="auto"/>
            </w:pPr>
            <w:r w:rsidRPr="6EEC01BD" w:rsidR="0768476D">
              <w:rPr>
                <w:rFonts w:ascii="Cambria" w:hAnsi="Cambria"/>
                <w:sz w:val="20"/>
                <w:szCs w:val="20"/>
              </w:rPr>
              <w:t>Clarificarea conceptuală</w:t>
            </w:r>
          </w:p>
        </w:tc>
        <w:tc>
          <w:tcPr>
            <w:tcW w:w="3321" w:type="dxa"/>
            <w:tcMar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6EEC01BD" w14:paraId="2512011A" w14:textId="77777777">
        <w:trPr>
          <w:trHeight w:val="284"/>
        </w:trPr>
        <w:tc>
          <w:tcPr>
            <w:tcW w:w="10491" w:type="dxa"/>
            <w:gridSpan w:val="3"/>
            <w:tcMar/>
            <w:vAlign w:val="center"/>
          </w:tcPr>
          <w:p w:rsidRPr="00C02345" w:rsidR="003F659E" w:rsidP="6EEC01BD" w:rsidRDefault="003F659E" w14:paraId="183F0267" w14:textId="1B91AE51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4F32E18C">
              <w:rPr>
                <w:rFonts w:ascii="Cambria" w:hAnsi="Cambria"/>
                <w:sz w:val="20"/>
                <w:szCs w:val="20"/>
              </w:rPr>
              <w:t>Bibliografie</w:t>
            </w:r>
          </w:p>
          <w:p w:rsidRPr="00C02345" w:rsidR="003F659E" w:rsidP="6EEC01BD" w:rsidRDefault="003F659E" w14:paraId="5DC76DE2" w14:textId="2490D45B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56319F36" w14:textId="56FCC218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Suport de curs pentru 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învăţământ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 la 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distanţă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 Consiliere 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şcolară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şi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 orientare în carieră – Modul 2: Perspective teoretice majore în psihologia vocațională (Seminar 2, 5, 7, 8)</w:t>
            </w:r>
          </w:p>
          <w:p w:rsidRPr="00C02345" w:rsidR="003F659E" w:rsidP="6EEC01BD" w:rsidRDefault="003F659E" w14:paraId="09C8ECA3" w14:textId="525B365A">
            <w:pPr>
              <w:pStyle w:val="Normal"/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0740DE85" w14:textId="3CAA048F">
            <w:pPr>
              <w:pStyle w:val="Normal"/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Erentaitė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, R.,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Raižienė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, S.,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Jurkevičienė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, J.,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Varghese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, T., &amp;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Maumavičienė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, D. (2021).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Promoting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gender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equality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by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tackling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gender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stereotypes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. Building inclusive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societies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: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Promoting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social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>inclusion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  <w:lang w:val="en-US"/>
              </w:rPr>
              <w:t xml:space="preserve">and 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reducing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discrimination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 xml:space="preserve"> (BUILD), 147-194. (Seminar 3)</w:t>
            </w:r>
          </w:p>
          <w:p w:rsidRPr="00C02345" w:rsidR="003F659E" w:rsidP="6EEC01BD" w:rsidRDefault="003F659E" w14:paraId="6BA059E6" w14:textId="677AFD32">
            <w:pPr>
              <w:pStyle w:val="Normal"/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C02345" w:rsidR="003F659E" w:rsidP="6EEC01BD" w:rsidRDefault="003F659E" w14:paraId="65706CFD" w14:textId="1F077A4B">
            <w:pPr>
              <w:pStyle w:val="Normal"/>
              <w:tabs>
                <w:tab w:val="left" w:pos="2715"/>
              </w:tabs>
              <w:spacing w:after="0" w:line="240" w:lineRule="auto"/>
            </w:pPr>
            <w:r w:rsidRPr="6EEC01BD" w:rsidR="5EF0396F">
              <w:rPr>
                <w:rFonts w:ascii="Cambria" w:hAnsi="Cambria"/>
                <w:sz w:val="20"/>
                <w:szCs w:val="20"/>
              </w:rPr>
              <w:t>Negru-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Subtirica</w:t>
            </w:r>
            <w:r w:rsidRPr="6EEC01BD" w:rsidR="5EF0396F">
              <w:rPr>
                <w:rFonts w:ascii="Cambria" w:hAnsi="Cambria"/>
                <w:sz w:val="20"/>
                <w:szCs w:val="20"/>
              </w:rPr>
              <w:t>, O. (2017). Formarea identității și rosturile vieții: Despre sens și direcție. Editura ASCR, Cluj-Napoca. ISBN 978-606-977-007-8 (Seminar 6, p. 44-49)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6EEC01BD" w14:paraId="697653B0" w14:textId="77777777">
        <w:trPr>
          <w:trHeight w:val="1725"/>
        </w:trPr>
        <w:tc>
          <w:tcPr>
            <w:tcW w:w="10491" w:type="dxa"/>
            <w:tcMar/>
          </w:tcPr>
          <w:p w:rsidRPr="002E4459" w:rsidR="0084568F" w:rsidP="6EEC01BD" w:rsidRDefault="0084568F" w14:paraId="2B940AFD" w14:textId="11A98BFB">
            <w:pPr>
              <w:pStyle w:val="Normal"/>
              <w:spacing w:before="120" w:after="0" w:line="240" w:lineRule="auto"/>
              <w:ind w:left="0" w:hanging="0"/>
              <w:rPr>
                <w:rFonts w:ascii="Cambria" w:hAnsi="Cambria"/>
                <w:sz w:val="20"/>
                <w:szCs w:val="20"/>
              </w:rPr>
            </w:pP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Analiza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şi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dezvoltarea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cunostinţelor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şi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competenţelor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profesionale integrează atât prevederile Colegiului Psihologilor din România (COPSI), cât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şi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cele ale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Asociaţiei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Psihologilor Americani (American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Psychological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Association, Divizia 17 – Society for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Vocational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Psychology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) și a Federației Europene a Asociațiilor de Psihologie (European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Federation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of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Psychologists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Associations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).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Secvenţele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didactice sunt întărite de studii de caz, rezultate ale cercetărilor extrase atât din literatura de specialitate, cât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şi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din colaborările cu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instituţii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 de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învăţământ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, inspectorate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şcolare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, organizații angajatoare (private și de stat)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 xml:space="preserve">şi </w:t>
            </w:r>
            <w:r w:rsidRPr="6EEC01BD" w:rsidR="3F7F9D0F">
              <w:rPr>
                <w:rFonts w:ascii="Cambria" w:hAnsi="Cambria"/>
                <w:sz w:val="20"/>
                <w:szCs w:val="20"/>
              </w:rPr>
              <w:t>a documentelor oficiale privind dinamica activităților de consiliere și orientare în carieră.</w:t>
            </w: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33515ABE" w14:paraId="06629255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33515ABE" w14:paraId="3DDA6B4F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307E3AAC" w14:textId="7A8A8CA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E93FED6">
              <w:rPr>
                <w:rFonts w:ascii="Cambria" w:hAnsi="Cambria"/>
                <w:sz w:val="20"/>
                <w:szCs w:val="20"/>
              </w:rPr>
              <w:t>Examen grilă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759DB29F" w14:textId="127F7A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2E93FED6">
              <w:rPr>
                <w:rFonts w:ascii="Cambria" w:hAnsi="Cambria"/>
                <w:sz w:val="20"/>
                <w:szCs w:val="20"/>
              </w:rPr>
              <w:t>70% (60% punctaj obținut în urma examenului grilă + 10% punct din oficiu)</w:t>
            </w:r>
          </w:p>
        </w:tc>
      </w:tr>
      <w:tr w:rsidRPr="0039068A" w:rsidR="00357598" w:rsidTr="33515ABE" w14:paraId="4000A1C8" w14:textId="77777777">
        <w:trPr>
          <w:trHeight w:val="284"/>
        </w:trPr>
        <w:tc>
          <w:tcPr>
            <w:tcW w:w="2839" w:type="dxa"/>
            <w:tcMar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tcMar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Mar/>
            <w:vAlign w:val="center"/>
          </w:tcPr>
          <w:p w:rsidRPr="00357598" w:rsidR="00357598" w:rsidP="00373CCF" w:rsidRDefault="00357598" w14:paraId="45722AA8" w14:textId="1DD602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53984A09">
              <w:rPr>
                <w:rFonts w:ascii="Cambria" w:hAnsi="Cambria"/>
                <w:sz w:val="20"/>
                <w:szCs w:val="20"/>
              </w:rPr>
              <w:t>Sarcina de semestru</w:t>
            </w:r>
          </w:p>
        </w:tc>
        <w:tc>
          <w:tcPr>
            <w:tcW w:w="2694" w:type="dxa"/>
            <w:tcMar/>
            <w:vAlign w:val="center"/>
          </w:tcPr>
          <w:p w:rsidRPr="00357598" w:rsidR="00357598" w:rsidP="00373CCF" w:rsidRDefault="00357598" w14:paraId="47DB3803" w14:textId="7BD00A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6EEC01BD" w:rsidR="53984A09">
              <w:rPr>
                <w:rFonts w:ascii="Cambria" w:hAnsi="Cambria"/>
                <w:sz w:val="20"/>
                <w:szCs w:val="20"/>
              </w:rPr>
              <w:t>30%</w:t>
            </w:r>
          </w:p>
        </w:tc>
      </w:tr>
      <w:tr w:rsidRPr="0039068A" w:rsidR="00357598" w:rsidTr="33515ABE" w14:paraId="17F47F67" w14:textId="77777777">
        <w:trPr>
          <w:trHeight w:val="284"/>
        </w:trPr>
        <w:tc>
          <w:tcPr>
            <w:tcW w:w="10492" w:type="dxa"/>
            <w:gridSpan w:val="4"/>
            <w:tcMar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33515ABE" w14:paraId="6CA55508" w14:textId="77777777">
        <w:trPr>
          <w:trHeight w:val="284"/>
        </w:trPr>
        <w:tc>
          <w:tcPr>
            <w:tcW w:w="10492" w:type="dxa"/>
            <w:gridSpan w:val="4"/>
            <w:tcMar/>
          </w:tcPr>
          <w:p w:rsidRPr="00357598" w:rsidR="00357598" w:rsidP="6EEC01BD" w:rsidRDefault="00357598" w14:paraId="7D05DF3E" w14:textId="794D4B61">
            <w:pPr>
              <w:spacing w:before="120"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Evaluarea finală se va realiza pe baza unui examen grilă desfăşurat față în față (conform deciziei</w:t>
            </w:r>
          </w:p>
          <w:p w:rsidRPr="00357598" w:rsidR="00357598" w:rsidP="6EEC01BD" w:rsidRDefault="00357598" w14:paraId="0AF3D0F6" w14:textId="1CA4F2A7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facultății: https://psiedu.ubbcluj.ro/data/uploads/doc/anunturi/2022/modalitate-examinare-sem-ii-022.pdf) în</w:t>
            </w:r>
          </w:p>
          <w:p w:rsidRPr="00357598" w:rsidR="00357598" w:rsidP="6EEC01BD" w:rsidRDefault="00357598" w14:paraId="4A83EE49" w14:textId="73B304FB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sesiunea de la finele semestrului II şi a unei sarcini de semestru.</w:t>
            </w:r>
          </w:p>
          <w:p w:rsidRPr="00357598" w:rsidR="00357598" w:rsidP="6EEC01BD" w:rsidRDefault="00357598" w14:paraId="7EFE9B39" w14:textId="68AF356D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Nota finală se compune din:</w:t>
            </w:r>
          </w:p>
          <w:p w:rsidRPr="00357598" w:rsidR="00357598" w:rsidP="6EEC01BD" w:rsidRDefault="00357598" w14:paraId="64ED38A5" w14:textId="11D750E3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a. punctajul obţinut la examenul grilă derulat față în față, în proporţie de 60% (maxim 6 puncte); punctajul</w:t>
            </w:r>
          </w:p>
          <w:p w:rsidRPr="00357598" w:rsidR="00357598" w:rsidP="6EEC01BD" w:rsidRDefault="00357598" w14:paraId="59537A34" w14:textId="26E972FC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minim pentru a avea notă de promovare este de 3 puncte din 6;</w:t>
            </w:r>
          </w:p>
          <w:p w:rsidRPr="00357598" w:rsidR="00357598" w:rsidP="6EEC01BD" w:rsidRDefault="00357598" w14:paraId="78848366" w14:textId="69FAF930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b. evaluarea sarcinii de semestru 30% (maxim 3 puncte);</w:t>
            </w:r>
          </w:p>
          <w:p w:rsidRPr="00357598" w:rsidR="00357598" w:rsidP="6EEC01BD" w:rsidRDefault="00357598" w14:paraId="3648ED21" w14:textId="29339545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c. 1 punct din oficiu.</w:t>
            </w:r>
          </w:p>
          <w:p w:rsidRPr="00357598" w:rsidR="00357598" w:rsidP="6EEC01BD" w:rsidRDefault="00357598" w14:paraId="4AEC4140" w14:textId="6A622673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Pentru promovarea examenului la materia ”Consiliere și orientare în carieră” trebuie îndeplinite simultan</w:t>
            </w:r>
          </w:p>
          <w:p w:rsidRPr="00357598" w:rsidR="00357598" w:rsidP="6EEC01BD" w:rsidRDefault="00357598" w14:paraId="1A99D5AF" w14:textId="471E9C95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următoarele condiții:</w:t>
            </w:r>
          </w:p>
          <w:p w:rsidRPr="00357598" w:rsidR="00357598" w:rsidP="6EEC01BD" w:rsidRDefault="00357598" w14:paraId="1C36DBAA" w14:textId="0FAA8575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1. Examen grilă: minim 50% din punctaj (cel puțin 3 puncte din 6)</w:t>
            </w:r>
          </w:p>
          <w:p w:rsidRPr="00357598" w:rsidR="00357598" w:rsidP="6EEC01BD" w:rsidRDefault="00357598" w14:paraId="19C84765" w14:textId="15CAEA5B">
            <w:pPr>
              <w:pStyle w:val="Normal"/>
              <w:spacing w:before="120" w:after="0" w:line="240" w:lineRule="auto"/>
              <w:ind w:left="641"/>
            </w:pPr>
            <w:r w:rsidRPr="6EEC01BD" w:rsidR="2066EF5D">
              <w:rPr>
                <w:rFonts w:ascii="Cambria" w:hAnsi="Cambria"/>
                <w:sz w:val="20"/>
                <w:szCs w:val="20"/>
              </w:rPr>
              <w:t>2. Notă finală: minim 50% din punctaj (cel puțin nota 5 din 10).</w:t>
            </w: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FootnoteReference"/>
          <w:rFonts w:ascii="Cambria" w:hAnsi="Cambria"/>
          <w:b/>
          <w:sz w:val="20"/>
          <w:szCs w:val="20"/>
        </w:rPr>
        <w:footnoteReference w:id="1"/>
      </w:r>
    </w:p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9326"/>
      </w:tblGrid>
      <w:tr w:rsidRPr="00E027F6" w:rsidR="00CB66F3" w:rsidTr="33515ABE" w14:paraId="11B37CCE" w14:textId="77777777">
        <w:trPr>
          <w:trHeight w:val="1037"/>
        </w:trPr>
        <w:tc>
          <w:tcPr>
            <w:tcW w:w="1165" w:type="dxa"/>
            <w:tcMar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</w:p>
        </w:tc>
        <w:tc>
          <w:tcPr>
            <w:tcW w:w="9326" w:type="dxa"/>
            <w:tcMar/>
            <w:vAlign w:val="center"/>
          </w:tcPr>
          <w:p w:rsidRPr="00E027F6" w:rsidR="00CB66F3" w:rsidP="6EEC01BD" w:rsidRDefault="00CB66F3" w14:paraId="5741C871" w14:textId="3A78DAB6">
            <w:pPr>
              <w:pStyle w:val="Normal"/>
              <w:rPr>
                <w:rFonts w:ascii="Cambria" w:hAnsi="Cambria"/>
              </w:rPr>
            </w:pPr>
            <w:r w:rsidR="34EDF8E7">
              <w:drawing>
                <wp:inline wp14:editId="550216A7" wp14:anchorId="03AD414C">
                  <wp:extent cx="587375" cy="611505"/>
                  <wp:effectExtent l="0" t="0" r="3175" b="0"/>
                  <wp:docPr id="1264582254" name="Imagine 18" descr="O imagine care conține text, Font, captură de ecran, siglă&#10;&#10;Descriere generată automat">
                    <a:extLst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3515ABE" w:rsidR="34EDF8E7">
              <w:rPr>
                <w:rFonts w:ascii="Cambria" w:hAnsi="Cambria"/>
              </w:rPr>
              <w:t xml:space="preserve">        </w:t>
            </w:r>
            <w:r w:rsidRPr="33515ABE" w:rsidR="4ADB68FB">
              <w:rPr>
                <w:rFonts w:ascii="Cambria" w:hAnsi="Cambria"/>
              </w:rPr>
              <w:t>Eticheta generală pentru Dezvoltare durabilă</w:t>
            </w:r>
            <w:r w:rsidR="6EEC01BD">
              <w:drawing>
                <wp:anchor distT="0" distB="0" distL="114300" distR="114300" simplePos="0" relativeHeight="251667456" behindDoc="0" locked="0" layoutInCell="1" allowOverlap="1" wp14:editId="15E56FE6" wp14:anchorId="216FF83B">
                  <wp:simplePos x="0" y="0"/>
                  <wp:positionH relativeFrom="column">
                    <wp:posOffset>-771525</wp:posOffset>
                  </wp:positionH>
                  <wp:positionV relativeFrom="paragraph">
                    <wp:posOffset>0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33515ABE" w:rsidRDefault="33515ABE" w14:paraId="4DFF7789" w14:textId="5717A968"/>
    <w:tbl>
      <w:tblPr>
        <w:tblStyle w:val="TableGrid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33515ABE" w14:paraId="2195F4D4" w14:textId="77777777">
        <w:trPr>
          <w:trHeight w:val="1275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0FDF693C">
            <w:pPr>
              <w:rPr>
                <w:rFonts w:ascii="Cambria" w:hAnsi="Cambria"/>
              </w:rPr>
            </w:pPr>
            <w:r w:rsidRPr="6EEC01BD" w:rsidR="1ACD4B7E">
              <w:rPr>
                <w:rFonts w:ascii="Cambria" w:hAnsi="Cambria"/>
              </w:rPr>
              <w:t>14.04.2025</w:t>
            </w:r>
          </w:p>
        </w:tc>
        <w:tc>
          <w:tcPr>
            <w:tcW w:w="3827" w:type="dxa"/>
            <w:shd w:val="clear" w:color="auto" w:fill="FFFFFF" w:themeFill="background1"/>
            <w:tcMar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0D3F05E0">
            <w:pPr>
              <w:spacing w:line="480" w:lineRule="auto"/>
              <w:rPr>
                <w:rFonts w:ascii="Cambria" w:hAnsi="Cambria"/>
              </w:rPr>
            </w:pPr>
            <w:r w:rsidRPr="6EEC01BD" w:rsidR="14691125">
              <w:rPr>
                <w:rFonts w:ascii="Cambria" w:hAnsi="Cambria"/>
              </w:rPr>
              <w:t xml:space="preserve"> </w:t>
            </w:r>
            <w:r w:rsidRPr="6EEC01BD" w:rsidR="14691125">
              <w:rPr>
                <w:rFonts w:ascii="Cambria" w:hAnsi="Cambria"/>
              </w:rPr>
              <w:t>Prof. dr. Oana Negru-Subțirică</w:t>
            </w:r>
            <w:r w:rsidRPr="6EEC01BD" w:rsidR="230B3CA7">
              <w:rPr>
                <w:rFonts w:ascii="Cambria" w:hAnsi="Cambria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33515ABE" w14:paraId="5931DBEE" w14:textId="77777777">
        <w:trPr>
          <w:trHeight w:val="810"/>
        </w:trPr>
        <w:tc>
          <w:tcPr>
            <w:tcW w:w="3545" w:type="dxa"/>
            <w:shd w:val="clear" w:color="auto" w:fill="FFFFFF" w:themeFill="background1"/>
            <w:tcMar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216870FA">
            <w:pPr>
              <w:spacing w:line="480" w:lineRule="auto"/>
              <w:rPr>
                <w:rFonts w:ascii="Cambria" w:hAnsi="Cambria"/>
              </w:rPr>
            </w:pPr>
            <w:r w:rsidRPr="6EEC01BD" w:rsidR="194A8B45">
              <w:rPr>
                <w:rFonts w:ascii="Cambria" w:hAnsi="Cambria"/>
              </w:rPr>
              <w:t>15.05.2025</w:t>
            </w: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  <w:tcMar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6EEC01BD" w:rsidR="230B3CA7">
              <w:rPr>
                <w:rFonts w:ascii="Cambria" w:hAnsi="Cambria"/>
              </w:rPr>
              <w:t>Semnătura directorului de departament</w:t>
            </w:r>
          </w:p>
          <w:p w:rsidRPr="003C197C" w:rsidR="003C197C" w:rsidP="33515ABE" w:rsidRDefault="003C197C" w14:paraId="6C7ED803" w14:textId="408E4603">
            <w:pPr>
              <w:pStyle w:val="Normal"/>
              <w:suppressLineNumbers w:val="0"/>
              <w:spacing w:before="0" w:beforeAutospacing="off" w:after="0" w:afterAutospacing="off" w:line="480" w:lineRule="auto"/>
              <w:ind w:left="0" w:right="0"/>
              <w:jc w:val="left"/>
            </w:pPr>
            <w:r w:rsidRPr="33515ABE" w:rsidR="4FAC28D8">
              <w:rPr>
                <w:rFonts w:ascii="Cambria" w:hAnsi="Cambria"/>
              </w:rPr>
              <w:t>Lect. Dr. Ionut Foldes</w:t>
            </w: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988" w:rsidP="00D12BC3" w:rsidRDefault="00300988" w14:paraId="605E0AC4" w14:textId="77777777">
      <w:pPr>
        <w:spacing w:after="0" w:line="240" w:lineRule="auto"/>
      </w:pPr>
      <w:r>
        <w:separator/>
      </w:r>
    </w:p>
  </w:endnote>
  <w:endnote w:type="continuationSeparator" w:id="0">
    <w:p w:rsidR="00300988" w:rsidP="00D12BC3" w:rsidRDefault="00300988" w14:paraId="4D85AA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988" w:rsidP="00D12BC3" w:rsidRDefault="00300988" w14:paraId="69DD7CA8" w14:textId="77777777">
      <w:pPr>
        <w:spacing w:after="0" w:line="240" w:lineRule="auto"/>
      </w:pPr>
      <w:r>
        <w:separator/>
      </w:r>
    </w:p>
  </w:footnote>
  <w:footnote w:type="continuationSeparator" w:id="0">
    <w:p w:rsidR="00300988" w:rsidP="00D12BC3" w:rsidRDefault="00300988" w14:paraId="493FCE0A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FootnoteText"/>
        <w:jc w:val="both"/>
        <w:rPr>
          <w:rFonts w:ascii="Cambria" w:hAnsi="Cambria"/>
        </w:rPr>
      </w:pPr>
      <w:r w:rsidRPr="00C3571C">
        <w:rPr>
          <w:rStyle w:val="FootnoteReference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655d83d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36232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187"/>
    <w:rsid w:val="001A4A04"/>
    <w:rsid w:val="001A50C5"/>
    <w:rsid w:val="001C2668"/>
    <w:rsid w:val="00201EE0"/>
    <w:rsid w:val="00221B6D"/>
    <w:rsid w:val="002315D2"/>
    <w:rsid w:val="002346BA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0988"/>
    <w:rsid w:val="00301E97"/>
    <w:rsid w:val="00303273"/>
    <w:rsid w:val="0031EE6D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2575B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2FFC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1DA5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513E"/>
    <w:rsid w:val="00C978D1"/>
    <w:rsid w:val="00CA412A"/>
    <w:rsid w:val="00CB66F3"/>
    <w:rsid w:val="00CC781A"/>
    <w:rsid w:val="00CCEB37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7AAA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400F9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22F"/>
    <w:rsid w:val="0258901C"/>
    <w:rsid w:val="0532CCF9"/>
    <w:rsid w:val="05C4AEF2"/>
    <w:rsid w:val="066F8363"/>
    <w:rsid w:val="06BE432E"/>
    <w:rsid w:val="073DD25E"/>
    <w:rsid w:val="0768476D"/>
    <w:rsid w:val="087791E1"/>
    <w:rsid w:val="089C79A4"/>
    <w:rsid w:val="09521AF2"/>
    <w:rsid w:val="095DDCE1"/>
    <w:rsid w:val="0A1B8D12"/>
    <w:rsid w:val="0A54218E"/>
    <w:rsid w:val="0AC8CAC3"/>
    <w:rsid w:val="0B23C597"/>
    <w:rsid w:val="0BD86558"/>
    <w:rsid w:val="0E6E43E0"/>
    <w:rsid w:val="0F01DFFF"/>
    <w:rsid w:val="10654592"/>
    <w:rsid w:val="11C1FDBA"/>
    <w:rsid w:val="13915C28"/>
    <w:rsid w:val="13B45217"/>
    <w:rsid w:val="14691125"/>
    <w:rsid w:val="147D556C"/>
    <w:rsid w:val="15F89D21"/>
    <w:rsid w:val="17A5DDB0"/>
    <w:rsid w:val="180A6CC1"/>
    <w:rsid w:val="194A8B45"/>
    <w:rsid w:val="199712A0"/>
    <w:rsid w:val="1A06F89D"/>
    <w:rsid w:val="1ACD4B7E"/>
    <w:rsid w:val="1B4E48F8"/>
    <w:rsid w:val="1D13C001"/>
    <w:rsid w:val="1DEFB43C"/>
    <w:rsid w:val="1E08E66A"/>
    <w:rsid w:val="1FD5CD9E"/>
    <w:rsid w:val="2066EF5D"/>
    <w:rsid w:val="22882A00"/>
    <w:rsid w:val="230B3CA7"/>
    <w:rsid w:val="249FD420"/>
    <w:rsid w:val="271BF188"/>
    <w:rsid w:val="280614F1"/>
    <w:rsid w:val="280D3E8C"/>
    <w:rsid w:val="290390C4"/>
    <w:rsid w:val="2BD2A3F5"/>
    <w:rsid w:val="2C988FDB"/>
    <w:rsid w:val="2E280A39"/>
    <w:rsid w:val="2E93FED6"/>
    <w:rsid w:val="2E9D34F0"/>
    <w:rsid w:val="2F0DE659"/>
    <w:rsid w:val="3077E381"/>
    <w:rsid w:val="30973829"/>
    <w:rsid w:val="30994312"/>
    <w:rsid w:val="3125DF54"/>
    <w:rsid w:val="3185507A"/>
    <w:rsid w:val="32A9B000"/>
    <w:rsid w:val="33515ABE"/>
    <w:rsid w:val="33665452"/>
    <w:rsid w:val="33D3A16F"/>
    <w:rsid w:val="33EA7C0D"/>
    <w:rsid w:val="34A65EA7"/>
    <w:rsid w:val="34EDF8E7"/>
    <w:rsid w:val="35E849EC"/>
    <w:rsid w:val="3655889B"/>
    <w:rsid w:val="389A0E83"/>
    <w:rsid w:val="3A54643A"/>
    <w:rsid w:val="3C2DDE27"/>
    <w:rsid w:val="3D2B9B91"/>
    <w:rsid w:val="3F63E210"/>
    <w:rsid w:val="3F7F9D0F"/>
    <w:rsid w:val="40A57D44"/>
    <w:rsid w:val="41ECC17B"/>
    <w:rsid w:val="41F14406"/>
    <w:rsid w:val="427B8718"/>
    <w:rsid w:val="435F9512"/>
    <w:rsid w:val="43EEDCD5"/>
    <w:rsid w:val="44349F04"/>
    <w:rsid w:val="4495B2C0"/>
    <w:rsid w:val="49AC337D"/>
    <w:rsid w:val="4ADB68FB"/>
    <w:rsid w:val="4AF5664E"/>
    <w:rsid w:val="4BB510E4"/>
    <w:rsid w:val="4C4AB50F"/>
    <w:rsid w:val="4C5F4915"/>
    <w:rsid w:val="4C7FA5DF"/>
    <w:rsid w:val="4F0C3C27"/>
    <w:rsid w:val="4F32E18C"/>
    <w:rsid w:val="4FAC28D8"/>
    <w:rsid w:val="53984A09"/>
    <w:rsid w:val="53D14711"/>
    <w:rsid w:val="5420451B"/>
    <w:rsid w:val="54B71765"/>
    <w:rsid w:val="55B65921"/>
    <w:rsid w:val="5722CCBE"/>
    <w:rsid w:val="58250C1C"/>
    <w:rsid w:val="584F6C55"/>
    <w:rsid w:val="5AF6E3CC"/>
    <w:rsid w:val="5BB82498"/>
    <w:rsid w:val="5C0008C4"/>
    <w:rsid w:val="5D245E41"/>
    <w:rsid w:val="5D413A52"/>
    <w:rsid w:val="5E069B4A"/>
    <w:rsid w:val="5E41D20B"/>
    <w:rsid w:val="5EF0396F"/>
    <w:rsid w:val="62A7F0E4"/>
    <w:rsid w:val="63AC8EFB"/>
    <w:rsid w:val="6685D62D"/>
    <w:rsid w:val="68CB4186"/>
    <w:rsid w:val="694435F3"/>
    <w:rsid w:val="69725823"/>
    <w:rsid w:val="698DEC51"/>
    <w:rsid w:val="69B08FAD"/>
    <w:rsid w:val="6B66E412"/>
    <w:rsid w:val="6BF34573"/>
    <w:rsid w:val="6EEC01BD"/>
    <w:rsid w:val="6F6211C9"/>
    <w:rsid w:val="6FD0DC98"/>
    <w:rsid w:val="7071FF36"/>
    <w:rsid w:val="7091E800"/>
    <w:rsid w:val="712A73F6"/>
    <w:rsid w:val="7221E4D7"/>
    <w:rsid w:val="73597A40"/>
    <w:rsid w:val="73A7C07F"/>
    <w:rsid w:val="756E9FCE"/>
    <w:rsid w:val="766BCB2A"/>
    <w:rsid w:val="7931439D"/>
    <w:rsid w:val="7986F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C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C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uiPriority w:val="99"/>
    <w:semiHidden/>
    <w:unhideWhenUsed/>
    <w:rsid w:val="00D12BC3"/>
    <w:rPr>
      <w:vertAlign w:val="superscript"/>
    </w:rPr>
  </w:style>
  <w:style w:type="table" w:styleId="TableGrid">
    <w:name w:val="Table Grid"/>
    <w:basedOn w:val="Table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96B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Ionut Foldes</lastModifiedBy>
  <revision>17</revision>
  <dcterms:created xsi:type="dcterms:W3CDTF">2025-07-30T11:18:00.0000000Z</dcterms:created>
  <dcterms:modified xsi:type="dcterms:W3CDTF">2026-02-12T10:15:52.1231459Z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