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7DAEB2C9" w:rsidR="00E815AB" w:rsidRDefault="00AE5D2D" w:rsidP="002E190E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D</w:t>
      </w:r>
      <w:r w:rsidRPr="00AE5D2D">
        <w:rPr>
          <w:rFonts w:ascii="Cambria" w:hAnsi="Cambria"/>
          <w:i/>
          <w:iCs/>
        </w:rPr>
        <w:t>e la corporație la platformă: noi forme de muncă</w:t>
      </w:r>
    </w:p>
    <w:p w14:paraId="147D6DE1" w14:textId="4FBE9E02" w:rsidR="00123B64" w:rsidRPr="000A1C1C" w:rsidRDefault="00123B64" w:rsidP="60E7F297">
      <w:pPr>
        <w:jc w:val="center"/>
        <w:rPr>
          <w:rFonts w:ascii="Cambria" w:eastAsia="Cambria" w:hAnsi="Cambria" w:cs="Cambria"/>
        </w:rPr>
      </w:pPr>
      <w:r w:rsidRPr="60E7F297">
        <w:rPr>
          <w:rFonts w:ascii="Cambria" w:hAnsi="Cambria"/>
        </w:rPr>
        <w:t>Anul universitar</w:t>
      </w:r>
      <w:r w:rsidR="00632190" w:rsidRPr="60E7F297">
        <w:rPr>
          <w:rFonts w:ascii="Cambria" w:hAnsi="Cambria"/>
        </w:rPr>
        <w:t xml:space="preserve"> </w:t>
      </w:r>
      <w:r w:rsidR="7F70669F" w:rsidRPr="60E7F297">
        <w:rPr>
          <w:rFonts w:ascii="Cambria" w:eastAsia="Cambria" w:hAnsi="Cambria" w:cs="Cambria"/>
          <w:color w:val="000000" w:themeColor="text1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47150BB5" w:rsidR="00D51618" w:rsidRPr="00D51618" w:rsidRDefault="0037247E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15FE8DA1" w:rsidR="00D51618" w:rsidRPr="00D51618" w:rsidRDefault="006A6E4E" w:rsidP="00AC174A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</w:t>
            </w:r>
            <w:r w:rsidR="007973B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logie</w:t>
            </w:r>
            <w:r w:rsidR="00AC174A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, Sociologie, 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3A9591E7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7855B23F" w:rsidR="008F5E28" w:rsidRPr="00C0333B" w:rsidRDefault="00AE5D2D" w:rsidP="00C0333B">
            <w:pPr>
              <w:pStyle w:val="Default"/>
              <w:rPr>
                <w:sz w:val="20"/>
                <w:szCs w:val="20"/>
              </w:rPr>
            </w:pPr>
            <w:r w:rsidRPr="00AE5D2D">
              <w:rPr>
                <w:sz w:val="20"/>
                <w:szCs w:val="20"/>
              </w:rPr>
              <w:t>De la corporație la platformă: noi forme de muncă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5D04CD27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BD4708">
              <w:rPr>
                <w:sz w:val="20"/>
                <w:szCs w:val="20"/>
              </w:rPr>
              <w:t>34</w:t>
            </w:r>
            <w:r w:rsidR="00AE5D2D">
              <w:rPr>
                <w:sz w:val="20"/>
                <w:szCs w:val="20"/>
              </w:rPr>
              <w:t>27</w:t>
            </w:r>
          </w:p>
        </w:tc>
      </w:tr>
      <w:tr w:rsidR="008F5E28" w:rsidRPr="00972DAD" w14:paraId="7729D621" w14:textId="77777777" w:rsidTr="3A9591E7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5A298114" w:rsidR="008F5E28" w:rsidRPr="00972DAD" w:rsidRDefault="001E596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Lect. dr. Oana Mateescu</w:t>
            </w:r>
          </w:p>
        </w:tc>
      </w:tr>
      <w:tr w:rsidR="008F5E28" w:rsidRPr="00972DAD" w14:paraId="6941DE1C" w14:textId="77777777" w:rsidTr="3A9591E7">
        <w:trPr>
          <w:trHeight w:val="350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3A9591E7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2845B26A" w:rsidR="006016CF" w:rsidRPr="00AE5FC2" w:rsidRDefault="0AD6684F" w:rsidP="3A9591E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3A9591E7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II/</w:t>
            </w:r>
            <w:r w:rsidR="003C135D" w:rsidRPr="3A9591E7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I</w:t>
            </w:r>
            <w:r w:rsidR="00C1453F" w:rsidRPr="3A9591E7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I</w:t>
            </w:r>
            <w:r w:rsidR="007D7370" w:rsidRPr="3A9591E7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56450BB7" w:rsidR="006016CF" w:rsidRPr="00AE5FC2" w:rsidRDefault="4920C6A1" w:rsidP="3A9591E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3A9591E7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4/</w:t>
            </w:r>
            <w:r w:rsidR="007D7370" w:rsidRPr="3A9591E7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C9E11CE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eastAsia="Times New Roman" w:hAnsi="Cambria" w:cs="Times New Roman"/>
                <w:sz w:val="18"/>
                <w:lang w:eastAsia="zh-CN"/>
              </w:rPr>
              <w:t>S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22165B4E" w:rsidR="00117B5A" w:rsidRPr="00972DAD" w:rsidRDefault="001E5964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31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589AB27D" w:rsidR="00117B5A" w:rsidRPr="00972DAD" w:rsidRDefault="001E596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47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7C10BE0F" w:rsidR="004D2236" w:rsidRPr="00972DAD" w:rsidRDefault="001E596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75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4A423E6B" w:rsidR="00221B6D" w:rsidRPr="00972DAD" w:rsidRDefault="007A3FA7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>-</w:t>
            </w: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6A616449" w:rsidR="00221B6D" w:rsidRPr="00972DAD" w:rsidRDefault="007A3FA7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2E190E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3551476C" w:rsidR="00844EAD" w:rsidRPr="00972DAD" w:rsidRDefault="007A3FA7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-</w:t>
            </w: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40431F4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6A13B398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10DDAF08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54C7E30" w14:textId="76B60B7B" w:rsidR="00C0333B" w:rsidRDefault="00796905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</w:t>
            </w:r>
          </w:p>
          <w:p w14:paraId="59C4AC85" w14:textId="77777777" w:rsidR="00551CC4" w:rsidRPr="00A74D64" w:rsidRDefault="00551CC4" w:rsidP="008A2EA1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6DB6C955" w14:textId="0455AEB8" w:rsidR="008A2EA1" w:rsidRDefault="008A2EA1" w:rsidP="008A2E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Intelegerea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noilor forme de munca si a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transformarilor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organizationale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ce apar </w:t>
            </w:r>
            <w:proofErr w:type="spellStart"/>
            <w:r>
              <w:rPr>
                <w:rFonts w:ascii="Times New Roman" w:hAnsi="Times New Roman"/>
                <w:color w:val="000000"/>
              </w:rPr>
              <w:t>odata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cu trecerea de la modelul </w:t>
            </w:r>
            <w:proofErr w:type="spellStart"/>
            <w:r>
              <w:rPr>
                <w:rFonts w:ascii="Times New Roman" w:hAnsi="Times New Roman"/>
                <w:color w:val="000000"/>
              </w:rPr>
              <w:t>corporatiei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la cel al platformei.</w:t>
            </w:r>
          </w:p>
          <w:p w14:paraId="7F90CB51" w14:textId="3A311CE2" w:rsidR="0083358D" w:rsidRPr="00694E26" w:rsidRDefault="0083358D" w:rsidP="008A2EA1">
            <w:pPr>
              <w:pStyle w:val="ListParagraph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736C0A98" w14:textId="77777777" w:rsidR="008A2EA1" w:rsidRDefault="008A2EA1" w:rsidP="008A2EA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Prezentarea celor doua modele – </w:t>
            </w:r>
            <w:proofErr w:type="spellStart"/>
            <w:r>
              <w:rPr>
                <w:rFonts w:ascii="Times New Roman" w:hAnsi="Times New Roman"/>
                <w:bCs/>
              </w:rPr>
              <w:t>corporatie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si platforma – precum si a diverselor lor forme. </w:t>
            </w:r>
            <w:proofErr w:type="spellStart"/>
            <w:r>
              <w:rPr>
                <w:rFonts w:ascii="Times New Roman" w:hAnsi="Times New Roman"/>
                <w:bCs/>
              </w:rPr>
              <w:t>Relatia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lor cu statul.</w:t>
            </w:r>
          </w:p>
          <w:p w14:paraId="12DF5186" w14:textId="2678CB9C" w:rsidR="008A2EA1" w:rsidRDefault="008A2EA1" w:rsidP="008A2EA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Aprofundarea unor procese si practici cheie precum externalizare, monopolizare, </w:t>
            </w:r>
            <w:proofErr w:type="spellStart"/>
            <w:r>
              <w:rPr>
                <w:rFonts w:ascii="Times New Roman" w:hAnsi="Times New Roman"/>
                <w:bCs/>
              </w:rPr>
              <w:t>relatia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dintre tehnologie si munca, </w:t>
            </w:r>
            <w:proofErr w:type="spellStart"/>
            <w:r>
              <w:rPr>
                <w:rFonts w:ascii="Times New Roman" w:hAnsi="Times New Roman"/>
                <w:bCs/>
              </w:rPr>
              <w:t>rapunderea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si responsabilitatea </w:t>
            </w:r>
            <w:proofErr w:type="spellStart"/>
            <w:r>
              <w:rPr>
                <w:rFonts w:ascii="Times New Roman" w:hAnsi="Times New Roman"/>
                <w:bCs/>
              </w:rPr>
              <w:t>corporata</w:t>
            </w:r>
            <w:proofErr w:type="spellEnd"/>
            <w:r>
              <w:rPr>
                <w:rFonts w:ascii="Times New Roman" w:hAnsi="Times New Roman"/>
                <w:bCs/>
              </w:rPr>
              <w:t>, management algoritmic, supravegherea muncii, automatizare.</w:t>
            </w:r>
          </w:p>
          <w:p w14:paraId="1C472F2A" w14:textId="77777777" w:rsidR="008A2EA1" w:rsidRDefault="008A2EA1" w:rsidP="008A2E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Reflectia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asupra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intersectiei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dintre economie, politica si etica.</w:t>
            </w:r>
          </w:p>
          <w:p w14:paraId="71E91B8C" w14:textId="0327F16C" w:rsidR="008A2EA1" w:rsidRDefault="008A2EA1" w:rsidP="008A2E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Dezvoltarea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gandirii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critice,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abilitatilor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analitice si comparative.</w:t>
            </w:r>
          </w:p>
          <w:p w14:paraId="49C8C8EF" w14:textId="092DEAEA" w:rsidR="0083358D" w:rsidRPr="008A2EA1" w:rsidRDefault="0083358D" w:rsidP="008A2E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497E13E6" w:rsidR="002A3A93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Introducere</w:t>
            </w:r>
          </w:p>
        </w:tc>
        <w:tc>
          <w:tcPr>
            <w:tcW w:w="3119" w:type="dxa"/>
            <w:vAlign w:val="center"/>
          </w:tcPr>
          <w:p w14:paraId="4AEE5826" w14:textId="2AD2F901" w:rsidR="002A3A93" w:rsidRPr="002A3A93" w:rsidRDefault="00544337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10BA13BE" w:rsidR="002A3A93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Istorii ale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corporatiei</w:t>
            </w:r>
            <w:proofErr w:type="spellEnd"/>
          </w:p>
        </w:tc>
        <w:tc>
          <w:tcPr>
            <w:tcW w:w="3119" w:type="dxa"/>
            <w:vAlign w:val="center"/>
          </w:tcPr>
          <w:p w14:paraId="2F417D16" w14:textId="046507C8" w:rsidR="007965C1" w:rsidRPr="002A3A93" w:rsidRDefault="00544337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67454098" w:rsidR="002A3A93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Corporatie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plantatie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oras</w:t>
            </w:r>
            <w:proofErr w:type="spellEnd"/>
          </w:p>
        </w:tc>
        <w:tc>
          <w:tcPr>
            <w:tcW w:w="3119" w:type="dxa"/>
            <w:vAlign w:val="center"/>
          </w:tcPr>
          <w:p w14:paraId="17BA7C53" w14:textId="32E8496A" w:rsidR="002A3A93" w:rsidRPr="002A3A93" w:rsidRDefault="00544337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1A1EF860" w:rsidR="002A3A93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Corporatia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: persoana &amp; responsabilitate</w:t>
            </w:r>
            <w:r w:rsidR="00796905" w:rsidRPr="008A2EA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36C28E5" w14:textId="14554579" w:rsidR="002A3A93" w:rsidRPr="002A3A93" w:rsidRDefault="00544337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73A091D2" w:rsidR="003F659E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Externalizare.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Corporatia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globala</w:t>
            </w:r>
            <w:r w:rsidR="00796905" w:rsidRPr="008A2EA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2656DDE5" w:rsidR="003F659E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05A6B619" w:rsidR="003F659E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>Platforma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6D8B50BD" w:rsidR="003F659E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3BD42BBA" w:rsidR="003F659E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Management algoritmic</w:t>
            </w:r>
            <w:r w:rsidR="00796905" w:rsidRPr="008A2EA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14A5457E" w:rsidR="003F659E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41635252" w:rsidR="003F659E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Munca de platforma in UE si Romania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2367BCBB" w:rsidR="003F659E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5F5D5AF3" w:rsidR="00796905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Platformizarea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consumului (studiu de caz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Spotify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5DC0101F" w:rsidR="00796905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4C711924" w:rsidR="00796905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Munca si supraveghere (studiu de caz Amazon)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2C376C53" w:rsidR="00796905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35F18BB0" w:rsidR="00796905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Inteligenta artificiala generativa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654377AE" w:rsidR="00796905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65A243A1" w:rsidR="00796905" w:rsidRPr="008A2EA1" w:rsidRDefault="008A2EA1" w:rsidP="008A2E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Viitorul muncii</w:t>
            </w:r>
            <w:r w:rsidR="00796905" w:rsidRPr="008A2EA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68532BA5" w:rsidR="00796905" w:rsidRPr="00C02345" w:rsidRDefault="00544337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Prelegere,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exercitii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interactive, </w:t>
            </w: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discutie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BA7554" w14:textId="77777777" w:rsidR="003F659E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523B103C" w14:textId="77777777" w:rsidR="00544337" w:rsidRDefault="0054433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Obligatorie</w:t>
            </w:r>
          </w:p>
          <w:p w14:paraId="3EEABCEA" w14:textId="77777777" w:rsid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14:paraId="4E5E4528" w14:textId="52A363C9" w:rsid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Aloisi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Antonio et al. 2023. An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unfinished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task?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Matching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Platform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Work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Directive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EU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international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"social acquis" (ILO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Working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paper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>)</w:t>
            </w:r>
          </w:p>
          <w:p w14:paraId="6B39A1E6" w14:textId="77777777" w:rsid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087FB28" w14:textId="6B7956B1" w:rsid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Butaru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Lucian &amp; Veronica Mateescu. 2025.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Glamorous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precarity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graphic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illustrators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twilight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of artificial intelligence.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Dialectical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Anthropology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>.</w:t>
            </w:r>
          </w:p>
          <w:p w14:paraId="7E038156" w14:textId="77777777" w:rsidR="00544337" w:rsidRP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18FFBCE" w14:textId="77777777" w:rsid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Life in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Amazon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Panopticon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: An International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Survey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of Amazon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Workers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(2023).</w:t>
            </w:r>
          </w:p>
          <w:p w14:paraId="124B7A8B" w14:textId="77777777" w:rsidR="00544337" w:rsidRPr="00544337" w:rsidRDefault="00544337" w:rsidP="0054433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BBBD35E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Benanav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Aaron. 2020. The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Automation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Discourse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In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Automation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Future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Work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>. New York: Verso.</w:t>
            </w:r>
          </w:p>
          <w:p w14:paraId="14F11457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Chan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Jenny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et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all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2020.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Dying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for an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iPhone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: Apple,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Foxconn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lives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China’s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workers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[capitolele 1 si 8].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Haymarket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Books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>.</w:t>
            </w:r>
          </w:p>
          <w:p w14:paraId="6F7468A0" w14:textId="26562A59" w:rsidR="008A47FC" w:rsidRPr="00544337" w:rsidRDefault="008A47FC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</w:t>
            </w:r>
            <w:r w:rsidRPr="008A47FC">
              <w:rPr>
                <w:rFonts w:ascii="Cambria" w:hAnsi="Cambria"/>
                <w:sz w:val="20"/>
                <w:szCs w:val="20"/>
              </w:rPr>
              <w:t>ollins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Jane &amp; Walter Khan. 2017. The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hijacking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of a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new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corporate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form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?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Benefit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corporations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corporate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personhood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Economy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Society</w:t>
            </w:r>
            <w:r w:rsidRPr="008A47FC">
              <w:rPr>
                <w:rFonts w:ascii="Cambria" w:hAnsi="Cambria"/>
                <w:sz w:val="20"/>
                <w:szCs w:val="20"/>
              </w:rPr>
              <w:t xml:space="preserve"> 45 (3-4).</w:t>
            </w:r>
          </w:p>
          <w:p w14:paraId="1ECF10F1" w14:textId="77777777" w:rsidR="00544337" w:rsidRDefault="00544337" w:rsidP="0054433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Gray, M.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Suri, S. 2019.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Ghost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labor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how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to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stop Silicon Valley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from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building a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new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global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underclass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Boston: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Harcourt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>.</w:t>
            </w:r>
          </w:p>
          <w:p w14:paraId="511470BE" w14:textId="77777777" w:rsidR="008A47FC" w:rsidRPr="00544337" w:rsidRDefault="008A47FC" w:rsidP="0054433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B52CE48" w14:textId="77777777" w:rsid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Jones, P. 2021.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Work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without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worker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544337">
              <w:rPr>
                <w:rFonts w:ascii="Cambria" w:hAnsi="Cambria"/>
                <w:sz w:val="20"/>
                <w:szCs w:val="20"/>
              </w:rPr>
              <w:t>(cap. 1 + Postscript). Verso.</w:t>
            </w:r>
          </w:p>
          <w:p w14:paraId="2F82707F" w14:textId="1B23A87A" w:rsidR="008A47FC" w:rsidRPr="00544337" w:rsidRDefault="008A47FC" w:rsidP="00544337">
            <w:pPr>
              <w:rPr>
                <w:rFonts w:ascii="Cambria" w:hAnsi="Cambria"/>
                <w:sz w:val="20"/>
                <w:szCs w:val="20"/>
              </w:rPr>
            </w:pPr>
            <w:r w:rsidRPr="008A47FC">
              <w:rPr>
                <w:rFonts w:ascii="Cambria" w:hAnsi="Cambria"/>
                <w:sz w:val="20"/>
                <w:szCs w:val="20"/>
              </w:rPr>
              <w:t xml:space="preserve">Lee, T. L., Tapia, M.,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Aranzaes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C. L.,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Sapre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S. R.,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Shimek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S.,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Pinto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S., &amp;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Bustamante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A. R. 2024. The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Militarization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Employment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Relations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Racialized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Surveillance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Worker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Control in Amazon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Fulfillment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Centers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Work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Occupations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0</w:t>
            </w:r>
            <w:r w:rsidRPr="008A47FC">
              <w:rPr>
                <w:rFonts w:ascii="Cambria" w:hAnsi="Cambria"/>
                <w:sz w:val="20"/>
                <w:szCs w:val="20"/>
              </w:rPr>
              <w:t xml:space="preserve">(0). </w:t>
            </w:r>
            <w:hyperlink r:id="rId11" w:tgtFrame="_blank" w:tooltip="https://doi.org/10.1177/07308884241292733" w:history="1">
              <w:r w:rsidRPr="008A47FC">
                <w:rPr>
                  <w:rStyle w:val="Hyperlink"/>
                  <w:rFonts w:ascii="Cambria" w:hAnsi="Cambria"/>
                  <w:sz w:val="20"/>
                  <w:szCs w:val="20"/>
                </w:rPr>
                <w:t>https://doi.org/10.1177/07308884241292733</w:t>
              </w:r>
            </w:hyperlink>
          </w:p>
          <w:p w14:paraId="3B82E5A7" w14:textId="77777777" w:rsidR="00544337" w:rsidRPr="00544337" w:rsidRDefault="00544337" w:rsidP="00544337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Lovink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Geert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2021. Notes on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platform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condition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hyperlink r:id="rId12" w:history="1">
              <w:r w:rsidRPr="00544337">
                <w:rPr>
                  <w:rStyle w:val="Hyperlink"/>
                  <w:rFonts w:ascii="Cambria" w:hAnsi="Cambria"/>
                  <w:sz w:val="20"/>
                  <w:szCs w:val="20"/>
                </w:rPr>
                <w:t>https://makingandbreaking.org/article/notes-on-the-platform-condition/</w:t>
              </w:r>
            </w:hyperlink>
          </w:p>
          <w:p w14:paraId="4C7E367B" w14:textId="6707AAE4" w:rsidR="00544337" w:rsidRDefault="00544337" w:rsidP="00544337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Murray Li, Tania si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Pujo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Semedi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. 2022.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Plantation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Life: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Corporate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Occupation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Indonesia’s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Oil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Palm Zone</w:t>
            </w:r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Durham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>: Duke University Press.</w:t>
            </w:r>
            <w:r w:rsidR="008A47FC">
              <w:rPr>
                <w:rFonts w:ascii="Cambria" w:hAnsi="Cambria"/>
                <w:bCs/>
                <w:sz w:val="20"/>
                <w:szCs w:val="20"/>
              </w:rPr>
              <w:t xml:space="preserve"> [</w:t>
            </w:r>
            <w:proofErr w:type="spellStart"/>
            <w:r w:rsidR="008A47FC">
              <w:rPr>
                <w:rFonts w:ascii="Cambria" w:hAnsi="Cambria"/>
                <w:bCs/>
                <w:sz w:val="20"/>
                <w:szCs w:val="20"/>
              </w:rPr>
              <w:t>Introduction</w:t>
            </w:r>
            <w:proofErr w:type="spellEnd"/>
            <w:r w:rsidR="008A47FC">
              <w:rPr>
                <w:rFonts w:ascii="Cambria" w:hAnsi="Cambria"/>
                <w:bCs/>
                <w:sz w:val="20"/>
                <w:szCs w:val="20"/>
              </w:rPr>
              <w:t>]</w:t>
            </w:r>
          </w:p>
          <w:p w14:paraId="7FD1DF11" w14:textId="77777777" w:rsidR="00544337" w:rsidRDefault="00544337" w:rsidP="00544337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  <w:p w14:paraId="7FC5B95C" w14:textId="746C00B2" w:rsidR="00544337" w:rsidRDefault="00544337" w:rsidP="00544337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Nguyen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sz w:val="20"/>
                <w:szCs w:val="20"/>
              </w:rPr>
              <w:t>A. &amp;</w:t>
            </w:r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A</w:t>
            </w:r>
            <w:r>
              <w:rPr>
                <w:rFonts w:ascii="Cambria" w:hAnsi="Cambria"/>
                <w:bCs/>
                <w:sz w:val="20"/>
                <w:szCs w:val="20"/>
              </w:rPr>
              <w:t>.</w:t>
            </w:r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Mateescu</w:t>
            </w:r>
            <w:r>
              <w:rPr>
                <w:rFonts w:ascii="Cambria" w:hAnsi="Cambria"/>
                <w:bCs/>
                <w:sz w:val="20"/>
                <w:szCs w:val="20"/>
              </w:rPr>
              <w:t>. 2025.</w:t>
            </w:r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Generative AI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Labor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: Power,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Hype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Value</w:t>
            </w:r>
            <w:proofErr w:type="spellEnd"/>
            <w:r w:rsidRPr="00544337">
              <w:rPr>
                <w:rFonts w:ascii="Cambria" w:hAnsi="Cambria"/>
                <w:bCs/>
                <w:sz w:val="20"/>
                <w:szCs w:val="20"/>
              </w:rPr>
              <w:t xml:space="preserve"> at </w:t>
            </w:r>
            <w:proofErr w:type="spellStart"/>
            <w:r w:rsidRPr="00544337">
              <w:rPr>
                <w:rFonts w:ascii="Cambria" w:hAnsi="Cambria"/>
                <w:bCs/>
                <w:sz w:val="20"/>
                <w:szCs w:val="20"/>
              </w:rPr>
              <w:t>Work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 xml:space="preserve">. AI </w:t>
            </w:r>
            <w:proofErr w:type="spellStart"/>
            <w:r>
              <w:rPr>
                <w:rFonts w:ascii="Cambria" w:hAnsi="Cambria"/>
                <w:bCs/>
                <w:sz w:val="20"/>
                <w:szCs w:val="20"/>
              </w:rPr>
              <w:t>Now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 xml:space="preserve"> Institute.</w:t>
            </w:r>
          </w:p>
          <w:p w14:paraId="29CF846B" w14:textId="77777777" w:rsidR="008A47FC" w:rsidRDefault="008A47FC" w:rsidP="00544337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  <w:p w14:paraId="406A0EC0" w14:textId="745BAFC7" w:rsidR="008A47FC" w:rsidRPr="008A47FC" w:rsidRDefault="008A47FC" w:rsidP="00544337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Cs/>
                <w:sz w:val="20"/>
                <w:szCs w:val="20"/>
              </w:rPr>
              <w:t>Pelly</w:t>
            </w:r>
            <w:proofErr w:type="spellEnd"/>
            <w:r>
              <w:rPr>
                <w:rFonts w:ascii="Cambria" w:hAnsi="Cambria"/>
                <w:bCs/>
                <w:sz w:val="20"/>
                <w:szCs w:val="20"/>
              </w:rPr>
              <w:t xml:space="preserve">, Liz. 2025.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Mood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Machine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: The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Rise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Spotify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Costs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Perfect </w:t>
            </w:r>
            <w:proofErr w:type="spellStart"/>
            <w:r w:rsidRPr="008A47FC">
              <w:rPr>
                <w:rFonts w:ascii="Cambria" w:hAnsi="Cambria"/>
                <w:bCs/>
                <w:i/>
                <w:iCs/>
                <w:sz w:val="20"/>
                <w:szCs w:val="20"/>
              </w:rPr>
              <w:t>Playlist</w:t>
            </w:r>
            <w:proofErr w:type="spellEnd"/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sz w:val="20"/>
                <w:szCs w:val="20"/>
              </w:rPr>
              <w:t>[capitolele 3, 5, 10].</w:t>
            </w:r>
          </w:p>
          <w:p w14:paraId="10037180" w14:textId="77777777" w:rsidR="00544337" w:rsidRPr="00544337" w:rsidRDefault="00544337" w:rsidP="00544337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  <w:p w14:paraId="20FCDC1C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Popan, Cosmin. </w:t>
            </w:r>
            <w:hyperlink r:id="rId13" w:history="1">
              <w:r w:rsidRPr="00544337">
                <w:rPr>
                  <w:rStyle w:val="Hyperlink"/>
                  <w:rFonts w:ascii="Cambria" w:hAnsi="Cambria"/>
                  <w:sz w:val="20"/>
                  <w:szCs w:val="20"/>
                </w:rPr>
                <w:t>https://www.dor.ro/ce-nu-stii-despre-livratorul-tau-de-mancare/</w:t>
              </w:r>
            </w:hyperlink>
          </w:p>
          <w:p w14:paraId="1F94E655" w14:textId="77777777" w:rsidR="00544337" w:rsidRPr="00544337" w:rsidRDefault="00544337" w:rsidP="00544337">
            <w:pPr>
              <w:pStyle w:val="NormalWeb"/>
              <w:spacing w:after="165" w:afterAutospacing="0"/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Posner, Miriam. 2018. See No Evil. </w:t>
            </w:r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Logic Magazine</w:t>
            </w:r>
            <w:r w:rsidRPr="00544337">
              <w:rPr>
                <w:rFonts w:ascii="Cambria" w:hAnsi="Cambria"/>
                <w:sz w:val="20"/>
                <w:szCs w:val="20"/>
              </w:rPr>
              <w:t xml:space="preserve"> No. 4.</w:t>
            </w:r>
          </w:p>
          <w:p w14:paraId="0D38E009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Stark, David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Ivana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Pais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2020.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Algorithmic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Management in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Platform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Economy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Sociologica</w:t>
            </w:r>
            <w:r w:rsidRPr="00544337">
              <w:rPr>
                <w:rFonts w:ascii="Cambria" w:hAnsi="Cambria"/>
                <w:sz w:val="20"/>
                <w:szCs w:val="20"/>
              </w:rPr>
              <w:t xml:space="preserve"> 14 (3).</w:t>
            </w:r>
          </w:p>
          <w:p w14:paraId="59F77BCE" w14:textId="77777777" w:rsidR="00544337" w:rsidRPr="00544337" w:rsidRDefault="00544337" w:rsidP="00544337">
            <w:pPr>
              <w:rPr>
                <w:rFonts w:ascii="Cambria" w:eastAsia="Times New Roman" w:hAnsi="Cambria"/>
                <w:sz w:val="20"/>
                <w:szCs w:val="20"/>
              </w:rPr>
            </w:pPr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Stern, P. 2017. The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corporation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in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history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. In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Baars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&amp;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Spicer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(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eds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), </w:t>
            </w:r>
            <w:r w:rsidRPr="008A47FC">
              <w:rPr>
                <w:rFonts w:ascii="Cambria" w:eastAsia="Times New Roman" w:hAnsi="Cambria"/>
                <w:i/>
                <w:iCs/>
                <w:sz w:val="20"/>
                <w:szCs w:val="20"/>
              </w:rPr>
              <w:t>The Corporation</w:t>
            </w:r>
            <w:r w:rsidRPr="00544337">
              <w:rPr>
                <w:rFonts w:ascii="Cambria" w:eastAsia="Times New Roman" w:hAnsi="Cambria"/>
                <w:sz w:val="20"/>
                <w:szCs w:val="20"/>
              </w:rPr>
              <w:t>, pp. 21-46.</w:t>
            </w:r>
          </w:p>
          <w:p w14:paraId="06557311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Vallas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Steven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Juliet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Schor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2020.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What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platforms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do?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Understanding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gig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economy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Annual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Review of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Sociology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46 (16):1–22.</w:t>
            </w:r>
          </w:p>
          <w:p w14:paraId="51BBA33D" w14:textId="77777777" w:rsidR="00544337" w:rsidRPr="00544337" w:rsidRDefault="0054433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lastRenderedPageBreak/>
              <w:t>Optionala</w:t>
            </w:r>
            <w:proofErr w:type="spellEnd"/>
          </w:p>
          <w:p w14:paraId="44D16F97" w14:textId="77777777" w:rsidR="00544337" w:rsidRPr="00544337" w:rsidRDefault="00544337" w:rsidP="00544337">
            <w:pPr>
              <w:rPr>
                <w:rFonts w:ascii="Cambria" w:hAnsi="Cambria"/>
                <w:color w:val="0000FF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Crawford, Kate si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Vladan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Joler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2018.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Anatomy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of an AI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System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</w:t>
            </w:r>
            <w:hyperlink r:id="rId14" w:history="1">
              <w:r w:rsidRPr="00544337">
                <w:rPr>
                  <w:rStyle w:val="Hyperlink"/>
                  <w:rFonts w:ascii="Cambria" w:hAnsi="Cambria"/>
                  <w:sz w:val="20"/>
                  <w:szCs w:val="20"/>
                </w:rPr>
                <w:t>https://anatomyof.ai/</w:t>
              </w:r>
            </w:hyperlink>
          </w:p>
          <w:p w14:paraId="31B2CF58" w14:textId="77777777" w:rsid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Dyer-Witherford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Nick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;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Atle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Mikkola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Kjosen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; James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Steinhoff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2019.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Introduction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+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Conclusion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Inhuman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Power: Artificial Intelligence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Future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of Capitalism</w:t>
            </w:r>
            <w:r w:rsidRPr="00544337">
              <w:rPr>
                <w:rFonts w:ascii="Cambria" w:hAnsi="Cambria"/>
                <w:sz w:val="20"/>
                <w:szCs w:val="20"/>
              </w:rPr>
              <w:t xml:space="preserve">. London: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Pluto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Press.</w:t>
            </w:r>
          </w:p>
          <w:p w14:paraId="48EF913A" w14:textId="77777777" w:rsidR="00544337" w:rsidRPr="00544337" w:rsidRDefault="00544337" w:rsidP="00544337">
            <w:pPr>
              <w:rPr>
                <w:rFonts w:ascii="Cambria" w:eastAsia="Times New Roman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Micklethwait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&amp;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Woolridge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. 2003.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Imperialists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Speculators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(cap. 2) &amp; A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prolonged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difficult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birth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(cap. 3). In </w:t>
            </w:r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 xml:space="preserve">The company: a </w:t>
            </w:r>
            <w:proofErr w:type="spellStart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>short</w:t>
            </w:r>
            <w:proofErr w:type="spellEnd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>history</w:t>
            </w:r>
            <w:proofErr w:type="spellEnd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 xml:space="preserve"> of a </w:t>
            </w:r>
            <w:proofErr w:type="spellStart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>revolutionary</w:t>
            </w:r>
            <w:proofErr w:type="spellEnd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 xml:space="preserve"> idea</w:t>
            </w:r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. </w:t>
            </w:r>
          </w:p>
          <w:p w14:paraId="75235D22" w14:textId="77777777" w:rsidR="00544337" w:rsidRPr="00544337" w:rsidRDefault="00544337" w:rsidP="00544337">
            <w:pPr>
              <w:pStyle w:val="NormalWeb"/>
              <w:rPr>
                <w:rFonts w:ascii="Cambria" w:hAnsi="Cambria"/>
                <w:sz w:val="20"/>
                <w:szCs w:val="20"/>
              </w:rPr>
            </w:pPr>
            <w:r w:rsidRPr="00544337">
              <w:rPr>
                <w:rFonts w:ascii="Cambria" w:hAnsi="Cambria"/>
                <w:sz w:val="20"/>
                <w:szCs w:val="20"/>
              </w:rPr>
              <w:t xml:space="preserve">Rajak, Dina. 2016. Theaters of virtue (cap.1). In C. Dolan &amp; D. Rajak (eds), </w:t>
            </w:r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 Anthropology of Corporate Social Responsibility</w:t>
            </w:r>
            <w:r w:rsidRPr="00544337">
              <w:rPr>
                <w:rFonts w:ascii="Cambria" w:hAnsi="Cambria"/>
                <w:sz w:val="20"/>
                <w:szCs w:val="20"/>
              </w:rPr>
              <w:t xml:space="preserve">. NY: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Berghahn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Books.</w:t>
            </w:r>
          </w:p>
          <w:p w14:paraId="68B8DABC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Ravenelle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Alexandra J. 2019.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Hustle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Gig: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Struggling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Surviving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Sharing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Economy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[capitolele 4 si/sau 7]. University of California Press.</w:t>
            </w:r>
          </w:p>
          <w:p w14:paraId="16AC4207" w14:textId="77777777" w:rsid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Schor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Juliet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2020.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Earning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on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platforms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[cap. 2].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After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gig: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how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sharing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economy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got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hijacked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how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to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win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it back</w:t>
            </w:r>
            <w:r w:rsidRPr="00544337">
              <w:rPr>
                <w:rFonts w:ascii="Cambria" w:hAnsi="Cambria"/>
                <w:sz w:val="20"/>
                <w:szCs w:val="20"/>
              </w:rPr>
              <w:t>. University of California Press.</w:t>
            </w:r>
          </w:p>
          <w:p w14:paraId="0D88FA81" w14:textId="77777777" w:rsidR="00544337" w:rsidRP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Seaver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Nick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2022.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Computing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Taste: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Algorithms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Makers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 xml:space="preserve"> of Music </w:t>
            </w:r>
            <w:proofErr w:type="spellStart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Recommendation</w:t>
            </w:r>
            <w:proofErr w:type="spellEnd"/>
            <w:r w:rsidRPr="00544337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  <w:r w:rsidRPr="00544337">
              <w:rPr>
                <w:rFonts w:ascii="Cambria" w:hAnsi="Cambria"/>
                <w:sz w:val="20"/>
                <w:szCs w:val="20"/>
              </w:rPr>
              <w:t xml:space="preserve"> Chicago: Chicago University Press.</w:t>
            </w:r>
          </w:p>
          <w:p w14:paraId="696DD750" w14:textId="77777777" w:rsidR="00544337" w:rsidRPr="00544337" w:rsidRDefault="00544337" w:rsidP="00544337">
            <w:pPr>
              <w:rPr>
                <w:rFonts w:ascii="Cambria" w:eastAsia="Times New Roman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Sovacool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, B. 2010.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Broken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by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Design: The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corporation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as a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failed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</w:t>
            </w:r>
            <w:proofErr w:type="spellStart"/>
            <w:r w:rsidRPr="00544337">
              <w:rPr>
                <w:rFonts w:ascii="Cambria" w:eastAsia="Times New Roman" w:hAnsi="Cambria"/>
                <w:sz w:val="20"/>
                <w:szCs w:val="20"/>
              </w:rPr>
              <w:t>technology</w:t>
            </w:r>
            <w:proofErr w:type="spellEnd"/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. </w:t>
            </w:r>
            <w:proofErr w:type="spellStart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>Science</w:t>
            </w:r>
            <w:proofErr w:type="spellEnd"/>
            <w:r w:rsidRPr="00544337">
              <w:rPr>
                <w:rFonts w:ascii="Cambria" w:eastAsia="Times New Roman" w:hAnsi="Cambria"/>
                <w:i/>
                <w:iCs/>
                <w:sz w:val="20"/>
                <w:szCs w:val="20"/>
              </w:rPr>
              <w:t>, Technology &amp; Society</w:t>
            </w:r>
            <w:r w:rsidRPr="00544337">
              <w:rPr>
                <w:rFonts w:ascii="Cambria" w:eastAsia="Times New Roman" w:hAnsi="Cambria"/>
                <w:sz w:val="20"/>
                <w:szCs w:val="20"/>
              </w:rPr>
              <w:t xml:space="preserve"> 15 (1).</w:t>
            </w:r>
          </w:p>
          <w:p w14:paraId="6A758A76" w14:textId="77777777" w:rsidR="00544337" w:rsidRDefault="00544337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Srnicek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Nick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. 2017.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Platform</w:t>
            </w:r>
            <w:proofErr w:type="spellEnd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 xml:space="preserve"> Capitalism</w:t>
            </w:r>
            <w:r w:rsidRPr="00544337">
              <w:rPr>
                <w:rFonts w:ascii="Cambria" w:hAnsi="Cambria"/>
                <w:sz w:val="20"/>
                <w:szCs w:val="20"/>
              </w:rPr>
              <w:t xml:space="preserve"> [capitol 2]. London: </w:t>
            </w:r>
            <w:proofErr w:type="spellStart"/>
            <w:r w:rsidRPr="00544337">
              <w:rPr>
                <w:rFonts w:ascii="Cambria" w:hAnsi="Cambria"/>
                <w:sz w:val="20"/>
                <w:szCs w:val="20"/>
              </w:rPr>
              <w:t>Polity</w:t>
            </w:r>
            <w:proofErr w:type="spellEnd"/>
            <w:r w:rsidRPr="00544337">
              <w:rPr>
                <w:rFonts w:ascii="Cambria" w:hAnsi="Cambria"/>
                <w:sz w:val="20"/>
                <w:szCs w:val="20"/>
              </w:rPr>
              <w:t xml:space="preserve"> Press.</w:t>
            </w:r>
          </w:p>
          <w:p w14:paraId="28D0D0F1" w14:textId="5EC028E4" w:rsidR="008A47FC" w:rsidRPr="00C02345" w:rsidRDefault="008A47FC" w:rsidP="0054433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Wiggin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T. (2025).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Weaponizing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Workplace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How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Algorithmic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Management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Shaped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Amazon’s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Antiunion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A47FC">
              <w:rPr>
                <w:rFonts w:ascii="Cambria" w:hAnsi="Cambria"/>
                <w:sz w:val="20"/>
                <w:szCs w:val="20"/>
              </w:rPr>
              <w:t>Campaign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 in Bessemer, Alabama. </w:t>
            </w:r>
            <w:proofErr w:type="spellStart"/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Socius</w:t>
            </w:r>
            <w:proofErr w:type="spellEnd"/>
            <w:r w:rsidRPr="008A47FC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A47FC">
              <w:rPr>
                <w:rFonts w:ascii="Cambria" w:hAnsi="Cambria"/>
                <w:i/>
                <w:iCs/>
                <w:sz w:val="20"/>
                <w:szCs w:val="20"/>
              </w:rPr>
              <w:t>11</w:t>
            </w:r>
            <w:r w:rsidRPr="008A47FC">
              <w:rPr>
                <w:rFonts w:ascii="Cambria" w:hAnsi="Cambria"/>
                <w:sz w:val="20"/>
                <w:szCs w:val="20"/>
              </w:rPr>
              <w:t xml:space="preserve">. </w:t>
            </w:r>
            <w:hyperlink r:id="rId15" w:tgtFrame="_blank" w:tooltip="https://doi.org/10.1177/23780231251318389" w:history="1">
              <w:r w:rsidRPr="008A47FC">
                <w:rPr>
                  <w:rStyle w:val="Hyperlink"/>
                  <w:rFonts w:ascii="Cambria" w:hAnsi="Cambria"/>
                  <w:sz w:val="20"/>
                  <w:szCs w:val="20"/>
                </w:rPr>
                <w:t>https://doi.org/10.1177/23780231251318389</w:t>
              </w:r>
            </w:hyperlink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682886">
        <w:trPr>
          <w:trHeight w:val="1268"/>
        </w:trPr>
        <w:tc>
          <w:tcPr>
            <w:tcW w:w="10491" w:type="dxa"/>
          </w:tcPr>
          <w:p w14:paraId="2B940AFD" w14:textId="0FD14E1F" w:rsidR="0084568F" w:rsidRPr="008A47FC" w:rsidRDefault="00682886" w:rsidP="008A47FC">
            <w:p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Cursul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adreseaza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teoretizari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cercetari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recente din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campul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sociologiei si antropologiei (in special in ceea ce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priveste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relatiile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de munca si impactul noilor tehnologii asupra muncii) precum si din studii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organizationale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economie politica.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Adresand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transformari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recente 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campul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muncii 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aparitia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modelului de munca de platforma, management algoritmic, automatizare), cursul ii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pregateste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studenti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provocarile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practice ale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digitalizarii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59576D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59576D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50A4F1D2" w:rsidR="00357598" w:rsidRPr="00357598" w:rsidRDefault="007A3FA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Identificarea si analiza a doua surse multimedia </w:t>
            </w:r>
          </w:p>
        </w:tc>
        <w:tc>
          <w:tcPr>
            <w:tcW w:w="2409" w:type="dxa"/>
            <w:vAlign w:val="center"/>
          </w:tcPr>
          <w:p w14:paraId="307E3AAC" w14:textId="0EE0DC4B" w:rsidR="00357598" w:rsidRPr="00357598" w:rsidRDefault="0068288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Referat (1000 cuvinte)</w:t>
            </w:r>
          </w:p>
        </w:tc>
        <w:tc>
          <w:tcPr>
            <w:tcW w:w="2694" w:type="dxa"/>
            <w:vAlign w:val="center"/>
          </w:tcPr>
          <w:p w14:paraId="759DB29F" w14:textId="24DDF1A5" w:rsidR="00357598" w:rsidRPr="00357598" w:rsidRDefault="0068288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30%</w:t>
            </w:r>
          </w:p>
        </w:tc>
      </w:tr>
      <w:tr w:rsidR="00357598" w:rsidRPr="0039068A" w14:paraId="685D657C" w14:textId="77777777" w:rsidTr="0059576D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09ABD20A" w:rsidR="00357598" w:rsidRPr="00682886" w:rsidRDefault="0068288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8288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Comprehensiunea </w:t>
            </w:r>
            <w:proofErr w:type="spellStart"/>
            <w:r w:rsidRPr="00682886">
              <w:rPr>
                <w:rFonts w:ascii="Cambria" w:hAnsi="Cambria"/>
                <w:color w:val="000000" w:themeColor="text1"/>
                <w:sz w:val="20"/>
                <w:szCs w:val="20"/>
              </w:rPr>
              <w:t>notiunilor</w:t>
            </w:r>
            <w:proofErr w:type="spellEnd"/>
            <w:r w:rsidRPr="0068288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si conceptelor de baza ale cursului; capacitate analitica; abilitate critica; structura argumentului; redactare</w:t>
            </w:r>
            <w:r w:rsidRPr="0068288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BC27ADE" w14:textId="1FA58248" w:rsidR="00357598" w:rsidRPr="00357598" w:rsidRDefault="0068288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Eseu final (1500 cuvinte)</w:t>
            </w:r>
          </w:p>
        </w:tc>
        <w:tc>
          <w:tcPr>
            <w:tcW w:w="2694" w:type="dxa"/>
            <w:vAlign w:val="center"/>
          </w:tcPr>
          <w:p w14:paraId="7EF06B9D" w14:textId="5844DACD" w:rsidR="00357598" w:rsidRPr="00357598" w:rsidRDefault="0068288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70%</w:t>
            </w:r>
          </w:p>
        </w:tc>
      </w:tr>
      <w:tr w:rsidR="00357598" w:rsidRPr="0039068A" w14:paraId="17F47F67" w14:textId="77777777" w:rsidTr="0059576D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59576D">
        <w:trPr>
          <w:trHeight w:val="284"/>
        </w:trPr>
        <w:tc>
          <w:tcPr>
            <w:tcW w:w="10492" w:type="dxa"/>
            <w:gridSpan w:val="4"/>
          </w:tcPr>
          <w:p w14:paraId="5C8DC7B8" w14:textId="77777777" w:rsidR="007A3FA7" w:rsidRPr="007A3FA7" w:rsidRDefault="007A3FA7" w:rsidP="007A3FA7">
            <w:pPr>
              <w:rPr>
                <w:rFonts w:ascii="Cambria" w:hAnsi="Cambria"/>
                <w:sz w:val="20"/>
                <w:szCs w:val="20"/>
                <w:lang w:eastAsia="ja-JP"/>
              </w:rPr>
            </w:pPr>
            <w:r w:rsidRPr="007A3FA7">
              <w:rPr>
                <w:rFonts w:ascii="Cambria" w:hAnsi="Cambria"/>
                <w:sz w:val="20"/>
                <w:szCs w:val="20"/>
                <w:lang w:eastAsia="ja-JP"/>
              </w:rPr>
              <w:t xml:space="preserve">Pentru promovare studentul trebuie să </w:t>
            </w:r>
            <w:proofErr w:type="spellStart"/>
            <w:r w:rsidRPr="007A3FA7">
              <w:rPr>
                <w:rFonts w:ascii="Cambria" w:hAnsi="Cambria"/>
                <w:sz w:val="20"/>
                <w:szCs w:val="20"/>
                <w:lang w:eastAsia="ja-JP"/>
              </w:rPr>
              <w:t>obţină</w:t>
            </w:r>
            <w:proofErr w:type="spellEnd"/>
            <w:r w:rsidRPr="007A3FA7">
              <w:rPr>
                <w:rFonts w:ascii="Cambria" w:hAnsi="Cambria"/>
                <w:sz w:val="20"/>
                <w:szCs w:val="20"/>
                <w:lang w:eastAsia="ja-JP"/>
              </w:rPr>
              <w:t xml:space="preserve"> minim 5 puncte din max. 10 puncte.</w:t>
            </w:r>
          </w:p>
          <w:p w14:paraId="2C08C47D" w14:textId="74389D89" w:rsidR="00357598" w:rsidRPr="007A3FA7" w:rsidRDefault="007A3FA7" w:rsidP="007A3FA7">
            <w:pPr>
              <w:pStyle w:val="Heading2"/>
              <w:keepLines w:val="0"/>
              <w:spacing w:before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3FA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Plagiatul va fi sancționat conform reglementărilor universitare, inclusiv prin neacordarea punctajului pentru lucrarea plagiată. </w:t>
            </w: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0335FDE1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1E84881" w14:textId="4C2790E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732604C" w14:textId="24EFF51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52A4F882" w14:textId="249B6700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1DDE7636" w14:textId="78CB4270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A69A711" w14:textId="28C0C1EB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423B32E2" w14:textId="05DC185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04DDBE31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495960A7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5B005270" w14:textId="679E450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66784A8" w14:textId="1072125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3C58DF13" w14:textId="3DCBEB33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8729EAA" w14:textId="530AD77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03DB388" w14:textId="61F81B09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7A1D1EBA" w14:textId="0632145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59576D" w:rsidRPr="003C197C" w14:paraId="2195F4D4" w14:textId="77777777" w:rsidTr="002518F3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59576D" w:rsidRPr="003C197C" w:rsidRDefault="0059576D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ACD4DCC" w:rsidR="0059576D" w:rsidRPr="003C197C" w:rsidRDefault="00DC4DCF" w:rsidP="00C0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17.09.2025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59576D" w:rsidRPr="003C197C" w:rsidRDefault="0059576D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59576D" w:rsidRPr="003C197C" w:rsidRDefault="0059576D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569E9077" w:rsidR="003C197C" w:rsidRPr="003C197C" w:rsidRDefault="00DC4DCF" w:rsidP="00C0333B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18.09.2025</w:t>
            </w: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2AA1" w14:textId="77777777" w:rsidR="00841EBC" w:rsidRDefault="00841EBC" w:rsidP="00D12BC3">
      <w:pPr>
        <w:spacing w:after="0" w:line="240" w:lineRule="auto"/>
      </w:pPr>
      <w:r>
        <w:separator/>
      </w:r>
    </w:p>
  </w:endnote>
  <w:endnote w:type="continuationSeparator" w:id="0">
    <w:p w14:paraId="4C0AF40B" w14:textId="77777777" w:rsidR="00841EBC" w:rsidRDefault="00841EBC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CEF7" w14:textId="77777777" w:rsidR="00841EBC" w:rsidRDefault="00841EBC" w:rsidP="00D12BC3">
      <w:pPr>
        <w:spacing w:after="0" w:line="240" w:lineRule="auto"/>
      </w:pPr>
      <w:r>
        <w:separator/>
      </w:r>
    </w:p>
  </w:footnote>
  <w:footnote w:type="continuationSeparator" w:id="0">
    <w:p w14:paraId="0199914F" w14:textId="77777777" w:rsidR="00841EBC" w:rsidRDefault="00841EBC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1CB1"/>
    <w:multiLevelType w:val="hybridMultilevel"/>
    <w:tmpl w:val="CD52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4"/>
  </w:num>
  <w:num w:numId="5" w16cid:durableId="102806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E59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247E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117A"/>
    <w:rsid w:val="0040441A"/>
    <w:rsid w:val="00405204"/>
    <w:rsid w:val="0042330E"/>
    <w:rsid w:val="00426637"/>
    <w:rsid w:val="00443956"/>
    <w:rsid w:val="00453436"/>
    <w:rsid w:val="004613CA"/>
    <w:rsid w:val="004675C5"/>
    <w:rsid w:val="00471405"/>
    <w:rsid w:val="00477B29"/>
    <w:rsid w:val="004D2236"/>
    <w:rsid w:val="004D4A31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44337"/>
    <w:rsid w:val="00551CC4"/>
    <w:rsid w:val="0055290A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5F4559"/>
    <w:rsid w:val="006016CF"/>
    <w:rsid w:val="00606962"/>
    <w:rsid w:val="00613ACE"/>
    <w:rsid w:val="00632190"/>
    <w:rsid w:val="0064174E"/>
    <w:rsid w:val="00670D17"/>
    <w:rsid w:val="00671A16"/>
    <w:rsid w:val="00680053"/>
    <w:rsid w:val="00682886"/>
    <w:rsid w:val="006840CE"/>
    <w:rsid w:val="00687EE7"/>
    <w:rsid w:val="00694E26"/>
    <w:rsid w:val="006A3DD3"/>
    <w:rsid w:val="006A6E4E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973BD"/>
    <w:rsid w:val="007A3FA7"/>
    <w:rsid w:val="007C7E50"/>
    <w:rsid w:val="007D0416"/>
    <w:rsid w:val="007D6BE3"/>
    <w:rsid w:val="007D7370"/>
    <w:rsid w:val="008001A1"/>
    <w:rsid w:val="008119F8"/>
    <w:rsid w:val="00820A4F"/>
    <w:rsid w:val="00827CA3"/>
    <w:rsid w:val="0083358D"/>
    <w:rsid w:val="0084063D"/>
    <w:rsid w:val="00841EBC"/>
    <w:rsid w:val="00844EAD"/>
    <w:rsid w:val="0084568F"/>
    <w:rsid w:val="008474FB"/>
    <w:rsid w:val="00847940"/>
    <w:rsid w:val="008479A2"/>
    <w:rsid w:val="00863872"/>
    <w:rsid w:val="008663BC"/>
    <w:rsid w:val="00885BDD"/>
    <w:rsid w:val="00886616"/>
    <w:rsid w:val="00896BDD"/>
    <w:rsid w:val="00896E10"/>
    <w:rsid w:val="008A2EA1"/>
    <w:rsid w:val="008A47FC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A3BE9"/>
    <w:rsid w:val="009F6D96"/>
    <w:rsid w:val="00A16B7E"/>
    <w:rsid w:val="00A2132C"/>
    <w:rsid w:val="00A23D3E"/>
    <w:rsid w:val="00A24211"/>
    <w:rsid w:val="00A30F6F"/>
    <w:rsid w:val="00A4215F"/>
    <w:rsid w:val="00A47F20"/>
    <w:rsid w:val="00A713B0"/>
    <w:rsid w:val="00A74D64"/>
    <w:rsid w:val="00A81EB6"/>
    <w:rsid w:val="00A82450"/>
    <w:rsid w:val="00AB0DE7"/>
    <w:rsid w:val="00AB3BFD"/>
    <w:rsid w:val="00AC174A"/>
    <w:rsid w:val="00AE5D2D"/>
    <w:rsid w:val="00AE5FC2"/>
    <w:rsid w:val="00B13B6B"/>
    <w:rsid w:val="00B417DB"/>
    <w:rsid w:val="00B73B81"/>
    <w:rsid w:val="00BC7CDE"/>
    <w:rsid w:val="00BD3CB2"/>
    <w:rsid w:val="00BD4708"/>
    <w:rsid w:val="00BE3534"/>
    <w:rsid w:val="00BE506E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35640"/>
    <w:rsid w:val="00D44828"/>
    <w:rsid w:val="00D51618"/>
    <w:rsid w:val="00D60DDF"/>
    <w:rsid w:val="00D61C56"/>
    <w:rsid w:val="00D70267"/>
    <w:rsid w:val="00D757A1"/>
    <w:rsid w:val="00D80899"/>
    <w:rsid w:val="00D81587"/>
    <w:rsid w:val="00D94607"/>
    <w:rsid w:val="00DA2069"/>
    <w:rsid w:val="00DA38B9"/>
    <w:rsid w:val="00DC236E"/>
    <w:rsid w:val="00DC4DCF"/>
    <w:rsid w:val="00DD2809"/>
    <w:rsid w:val="00DE6B49"/>
    <w:rsid w:val="00DE7243"/>
    <w:rsid w:val="00E027F6"/>
    <w:rsid w:val="00E03DC8"/>
    <w:rsid w:val="00E21AB4"/>
    <w:rsid w:val="00E27C90"/>
    <w:rsid w:val="00E31810"/>
    <w:rsid w:val="00E34ECC"/>
    <w:rsid w:val="00E463DB"/>
    <w:rsid w:val="00E54B8B"/>
    <w:rsid w:val="00E56D7A"/>
    <w:rsid w:val="00E674CE"/>
    <w:rsid w:val="00E724BA"/>
    <w:rsid w:val="00E815AB"/>
    <w:rsid w:val="00E8198A"/>
    <w:rsid w:val="00EB18DB"/>
    <w:rsid w:val="00EF1903"/>
    <w:rsid w:val="00EF7B22"/>
    <w:rsid w:val="00F01F2B"/>
    <w:rsid w:val="00F1290F"/>
    <w:rsid w:val="00F33024"/>
    <w:rsid w:val="00F52A38"/>
    <w:rsid w:val="00F56521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AD6684F"/>
    <w:rsid w:val="3A9591E7"/>
    <w:rsid w:val="4920C6A1"/>
    <w:rsid w:val="60E7F297"/>
    <w:rsid w:val="7F7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54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r.ro/ce-nu-stii-despre-livratorul-tau-de-mancar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kingandbreaking.org/article/notes-on-the-platform-condition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77/0730888424129273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77/23780231251318389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atomyof.ai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1436</Words>
  <Characters>9178</Characters>
  <Application>Microsoft Office Word</Application>
  <DocSecurity>0</DocSecurity>
  <Lines>339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10</cp:revision>
  <dcterms:created xsi:type="dcterms:W3CDTF">2025-09-18T11:51:00Z</dcterms:created>
  <dcterms:modified xsi:type="dcterms:W3CDTF">2026-02-05T17:24:00Z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10e01d0c-cac5-4274-befe-8692a869aa9d</vt:lpwstr>
  </property>
</Properties>
</file>