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001D4E" w14:paraId="51F29D65" w14:textId="7D806B83">
      <w:pPr>
        <w:jc w:val="center"/>
        <w:rPr>
          <w:rFonts w:ascii="Cambria" w:hAnsi="Cambria"/>
          <w:i/>
          <w:iCs/>
        </w:rPr>
      </w:pPr>
      <w:r w:rsidRPr="00001D4E">
        <w:rPr>
          <w:rFonts w:ascii="Cambria" w:hAnsi="Cambria"/>
          <w:i/>
          <w:iCs/>
        </w:rPr>
        <w:t>Dezvoltare organizațională și managementul schimbării</w:t>
      </w:r>
    </w:p>
    <w:p w:rsidRPr="000A1C1C" w:rsidR="00123B64" w:rsidP="36B3B874" w:rsidRDefault="00123B64" w14:paraId="147D6DE1" w14:textId="51E549FC">
      <w:pPr>
        <w:jc w:val="center"/>
        <w:rPr>
          <w:rFonts w:ascii="Cambria" w:hAnsi="Cambria" w:eastAsia="Cambria" w:cs="Cambria"/>
          <w:noProof w:val="0"/>
          <w:sz w:val="24"/>
          <w:szCs w:val="24"/>
          <w:lang w:val="ro-RO"/>
        </w:rPr>
      </w:pPr>
      <w:r w:rsidRPr="36B3B874" w:rsidR="00123B64">
        <w:rPr>
          <w:rFonts w:ascii="Cambria" w:hAnsi="Cambria"/>
        </w:rPr>
        <w:t>Anul universitar</w:t>
      </w:r>
      <w:r w:rsidRPr="36B3B874" w:rsidR="00632190">
        <w:rPr>
          <w:rFonts w:ascii="Cambria" w:hAnsi="Cambria"/>
        </w:rPr>
        <w:t xml:space="preserve"> </w:t>
      </w:r>
      <w:r w:rsidRPr="36B3B874" w:rsidR="41857A1C">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001D4E" w14:paraId="2025CE64" w14:textId="54387038">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121356F"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01D4E" w14:paraId="56BB9F54" w14:textId="643DFA2B">
            <w:pPr>
              <w:pStyle w:val="Default"/>
              <w:rPr>
                <w:sz w:val="20"/>
                <w:szCs w:val="20"/>
              </w:rPr>
            </w:pPr>
            <w:r w:rsidRPr="00001D4E">
              <w:rPr>
                <w:sz w:val="20"/>
                <w:szCs w:val="20"/>
              </w:rPr>
              <w:t>Dezvoltare organizațională și managementul schimbării</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C5B2294">
            <w:pPr>
              <w:pStyle w:val="Default"/>
              <w:rPr>
                <w:sz w:val="20"/>
                <w:szCs w:val="20"/>
              </w:rPr>
            </w:pPr>
            <w:r>
              <w:rPr>
                <w:sz w:val="20"/>
                <w:szCs w:val="20"/>
              </w:rPr>
              <w:t>ALR</w:t>
            </w:r>
            <w:r w:rsidR="00001D4E">
              <w:rPr>
                <w:sz w:val="20"/>
                <w:szCs w:val="20"/>
              </w:rPr>
              <w:t>4314</w:t>
            </w:r>
          </w:p>
        </w:tc>
      </w:tr>
      <w:tr w:rsidRPr="00972DAD" w:rsidR="008F5E28" w:rsidTr="3121356F"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3121356F" w:rsidRDefault="008F5E28" w14:paraId="02F7CAC0" w14:textId="522769DE">
            <w:pPr>
              <w:suppressAutoHyphens/>
              <w:spacing w:after="0" w:line="240" w:lineRule="auto"/>
              <w:rPr>
                <w:rFonts w:ascii="Cambria" w:hAnsi="Cambria" w:eastAsia="Times New Roman" w:cs="Times New Roman"/>
                <w:sz w:val="20"/>
                <w:szCs w:val="20"/>
                <w:lang w:eastAsia="zh-CN"/>
              </w:rPr>
            </w:pPr>
            <w:r w:rsidRPr="3121356F" w:rsidR="7E70B47E">
              <w:rPr>
                <w:rFonts w:ascii="Cambria" w:hAnsi="Cambria" w:eastAsia="Times New Roman" w:cs="Times New Roman"/>
                <w:sz w:val="20"/>
                <w:szCs w:val="20"/>
                <w:lang w:eastAsia="zh-CN"/>
              </w:rPr>
              <w:t>Lector univ. dr. Veronica Mateescu</w:t>
            </w:r>
          </w:p>
        </w:tc>
      </w:tr>
      <w:tr w:rsidRPr="00972DAD" w:rsidR="008F5E28" w:rsidTr="3121356F"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3121356F"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696F8759" w:rsidRDefault="003C135D" w14:paraId="642D3A83" w14:textId="5F6F61F5">
            <w:pPr>
              <w:suppressAutoHyphens/>
              <w:spacing w:after="0" w:line="240" w:lineRule="auto"/>
              <w:jc w:val="center"/>
              <w:rPr>
                <w:rFonts w:ascii="Cambria" w:hAnsi="Cambria" w:eastAsia="Times New Roman" w:cs="Times New Roman"/>
                <w:sz w:val="20"/>
                <w:szCs w:val="20"/>
                <w:lang w:eastAsia="zh-CN"/>
              </w:rPr>
            </w:pPr>
            <w:r w:rsidRPr="696F8759" w:rsidR="003C135D">
              <w:rPr>
                <w:rFonts w:ascii="Cambria" w:hAnsi="Cambria" w:eastAsia="Times New Roman" w:cs="Times New Roman"/>
                <w:sz w:val="20"/>
                <w:szCs w:val="20"/>
                <w:lang w:eastAsia="zh-CN"/>
              </w:rPr>
              <w:t>I</w:t>
            </w:r>
            <w:r w:rsidRPr="696F8759" w:rsidR="00C1453F">
              <w:rPr>
                <w:rFonts w:ascii="Cambria" w:hAnsi="Cambria" w:eastAsia="Times New Roman" w:cs="Times New Roman"/>
                <w:sz w:val="20"/>
                <w:szCs w:val="20"/>
                <w:lang w:eastAsia="zh-CN"/>
              </w:rPr>
              <w:t>I</w:t>
            </w:r>
            <w:r w:rsidRPr="696F8759" w:rsidR="684820E4">
              <w:rPr>
                <w:rFonts w:ascii="Cambria" w:hAnsi="Cambria" w:eastAsia="Times New Roman" w:cs="Times New Roman"/>
                <w:sz w:val="20"/>
                <w:szCs w:val="20"/>
                <w:lang w:eastAsia="zh-CN"/>
              </w:rPr>
              <w:t>/III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696F8759" w:rsidRDefault="00001D4E" w14:paraId="1CE49F94" w14:textId="03761EBF">
            <w:pPr>
              <w:suppressAutoHyphens/>
              <w:spacing w:after="0" w:line="240" w:lineRule="auto"/>
              <w:jc w:val="center"/>
              <w:rPr>
                <w:rFonts w:ascii="Cambria" w:hAnsi="Cambria" w:eastAsia="Times New Roman" w:cs="Times New Roman"/>
                <w:sz w:val="20"/>
                <w:szCs w:val="20"/>
                <w:lang w:eastAsia="zh-CN"/>
              </w:rPr>
            </w:pPr>
            <w:r w:rsidRPr="696F8759" w:rsidR="00001D4E">
              <w:rPr>
                <w:rFonts w:ascii="Cambria" w:hAnsi="Cambria" w:eastAsia="Times New Roman" w:cs="Times New Roman"/>
                <w:sz w:val="20"/>
                <w:szCs w:val="20"/>
                <w:lang w:eastAsia="zh-CN"/>
              </w:rPr>
              <w:t>3</w:t>
            </w:r>
            <w:r w:rsidRPr="696F8759" w:rsidR="59C9C103">
              <w:rPr>
                <w:rFonts w:ascii="Cambria" w:hAnsi="Cambria" w:eastAsia="Times New Roman" w:cs="Times New Roman"/>
                <w:sz w:val="20"/>
                <w:szCs w:val="20"/>
                <w:lang w:eastAsia="zh-CN"/>
              </w:rPr>
              <w:t>/5</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E815AB" w14:paraId="1F6F3D9F" w14:textId="7375D1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26</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E815AB" w14:paraId="6EABD8A3" w14:textId="7F37E1D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42</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E815AB" w14:paraId="686BA008" w14:textId="0234D642">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2E190E"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3121356F"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4DB27DEC" w14:textId="5A40A2CE">
            <w:pPr>
              <w:pStyle w:val="Default"/>
              <w:rPr>
                <w:sz w:val="20"/>
                <w:szCs w:val="20"/>
              </w:rPr>
            </w:pPr>
            <w:r w:rsidRPr="3121356F" w:rsidR="185647BA">
              <w:rPr>
                <w:sz w:val="20"/>
                <w:szCs w:val="20"/>
              </w:rPr>
              <w:t>- Gestionarea sistemelor de date sociale</w:t>
            </w:r>
            <w:r w:rsidRPr="3121356F" w:rsidR="4ED16D66">
              <w:rPr>
                <w:sz w:val="20"/>
                <w:szCs w:val="20"/>
              </w:rPr>
              <w:t>;</w:t>
            </w:r>
          </w:p>
          <w:p w:rsidR="00796905" w:rsidP="00796905" w:rsidRDefault="00796905" w14:paraId="5395B6D4" w14:textId="77777777">
            <w:pPr>
              <w:pStyle w:val="Default"/>
              <w:rPr>
                <w:sz w:val="20"/>
                <w:szCs w:val="20"/>
              </w:rPr>
            </w:pPr>
          </w:p>
          <w:p w:rsidR="00796905" w:rsidP="00796905" w:rsidRDefault="00796905" w14:paraId="0A3A00D3" w14:textId="2B16D5A9">
            <w:pPr>
              <w:pStyle w:val="Default"/>
              <w:rPr>
                <w:sz w:val="20"/>
                <w:szCs w:val="20"/>
              </w:rPr>
            </w:pPr>
            <w:r w:rsidRPr="3121356F" w:rsidR="185647BA">
              <w:rPr>
                <w:sz w:val="20"/>
                <w:szCs w:val="20"/>
              </w:rPr>
              <w:t>- Diagnoza mediului organizațional</w:t>
            </w:r>
            <w:r w:rsidRPr="3121356F" w:rsidR="544FEDEC">
              <w:rPr>
                <w:sz w:val="20"/>
                <w:szCs w:val="20"/>
              </w:rPr>
              <w:t>;</w:t>
            </w:r>
          </w:p>
          <w:p w:rsidR="00796905" w:rsidP="00796905" w:rsidRDefault="00796905" w14:paraId="6591684D" w14:textId="77777777">
            <w:pPr>
              <w:pStyle w:val="Default"/>
              <w:rPr>
                <w:sz w:val="20"/>
                <w:szCs w:val="20"/>
              </w:rPr>
            </w:pPr>
          </w:p>
          <w:p w:rsidR="00796905" w:rsidP="00796905" w:rsidRDefault="00796905" w14:paraId="165B304F" w14:textId="47D4F363">
            <w:pPr>
              <w:pStyle w:val="Default"/>
              <w:rPr>
                <w:sz w:val="20"/>
                <w:szCs w:val="20"/>
              </w:rPr>
            </w:pPr>
            <w:r w:rsidRPr="3121356F" w:rsidR="185647BA">
              <w:rPr>
                <w:sz w:val="20"/>
                <w:szCs w:val="20"/>
              </w:rPr>
              <w:t xml:space="preserve">-  Identificarea nevoilor de dezvoltare a resurselor umane din organizație prin aplicarea de metode specifice </w:t>
            </w:r>
            <w:r w:rsidRPr="3121356F" w:rsidR="1F59CD12">
              <w:rPr>
                <w:sz w:val="20"/>
                <w:szCs w:val="20"/>
              </w:rPr>
              <w:t>;</w:t>
            </w:r>
          </w:p>
          <w:p w:rsidR="00796905" w:rsidP="00796905" w:rsidRDefault="00796905" w14:paraId="4359147A" w14:textId="77777777">
            <w:pPr>
              <w:pStyle w:val="Default"/>
              <w:rPr>
                <w:sz w:val="20"/>
                <w:szCs w:val="20"/>
              </w:rPr>
            </w:pPr>
          </w:p>
          <w:p w:rsidRPr="00A74D64" w:rsidR="00551CC4" w:rsidP="3121356F" w:rsidRDefault="00551CC4" w14:paraId="59C4AC85" w14:textId="7E48BE45">
            <w:pPr>
              <w:pStyle w:val="Default"/>
              <w:spacing w:after="0" w:line="240" w:lineRule="auto"/>
              <w:ind/>
              <w:rPr>
                <w:sz w:val="20"/>
                <w:szCs w:val="20"/>
              </w:rPr>
            </w:pPr>
            <w:r w:rsidRPr="3121356F" w:rsidR="185647BA">
              <w:rPr>
                <w:sz w:val="20"/>
                <w:szCs w:val="20"/>
              </w:rPr>
              <w:t xml:space="preserve">- </w:t>
            </w:r>
            <w:r w:rsidRPr="3121356F" w:rsidR="185647BA">
              <w:rPr>
                <w:sz w:val="20"/>
                <w:szCs w:val="20"/>
              </w:rPr>
              <w:t xml:space="preserve"> Analiza interacțiunii resurselor umane </w:t>
            </w:r>
            <w:r w:rsidRPr="3121356F" w:rsidR="4C501D65">
              <w:rPr>
                <w:sz w:val="20"/>
                <w:szCs w:val="20"/>
              </w:rPr>
              <w:t>;</w:t>
            </w:r>
          </w:p>
        </w:tc>
      </w:tr>
      <w:tr w:rsidRPr="0039068A" w:rsidR="00551CC4" w:rsidTr="3121356F"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3121356F"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00694E26" w:rsidRDefault="0083358D" w14:paraId="7F90CB51" w14:textId="5018876A">
            <w:pPr>
              <w:pStyle w:val="Listparagraf"/>
              <w:numPr>
                <w:ilvl w:val="0"/>
                <w:numId w:val="4"/>
              </w:numPr>
              <w:spacing w:after="0" w:line="240" w:lineRule="auto"/>
              <w:rPr>
                <w:rFonts w:ascii="Cambria" w:hAnsi="Cambria"/>
                <w:sz w:val="20"/>
                <w:szCs w:val="20"/>
              </w:rPr>
            </w:pPr>
            <w:r w:rsidRPr="3121356F" w:rsidR="118C1100">
              <w:rPr>
                <w:rFonts w:ascii="Calibri" w:hAnsi="Calibri" w:eastAsia="Calibri" w:cs="Calibri"/>
                <w:noProof w:val="0"/>
                <w:sz w:val="22"/>
                <w:szCs w:val="22"/>
                <w:lang w:val="ro-RO"/>
              </w:rPr>
              <w:t xml:space="preserve">Oferirea </w:t>
            </w:r>
            <w:r w:rsidRPr="3121356F" w:rsidR="118C1100">
              <w:rPr>
                <w:rFonts w:ascii="Calibri" w:hAnsi="Calibri" w:eastAsia="Calibri" w:cs="Calibri"/>
                <w:i w:val="1"/>
                <w:iCs w:val="1"/>
                <w:noProof w:val="0"/>
                <w:sz w:val="22"/>
                <w:szCs w:val="22"/>
                <w:lang w:val="ro-RO"/>
              </w:rPr>
              <w:t>know-how</w:t>
            </w:r>
            <w:r w:rsidRPr="3121356F" w:rsidR="118C1100">
              <w:rPr>
                <w:rFonts w:ascii="Calibri" w:hAnsi="Calibri" w:eastAsia="Calibri" w:cs="Calibri"/>
                <w:noProof w:val="0"/>
                <w:sz w:val="22"/>
                <w:szCs w:val="22"/>
                <w:lang w:val="ro-RO"/>
              </w:rPr>
              <w:t>-ului necesar pentru activarea în domeniul dezvoltării organizaționale și al managementului schimbării și/sau înțelegerea proceselor respective ca subiect al acestora în calitate de viitor membru al unei organizații, în vederea dezvoltării capacității individuale de acțiune.</w:t>
            </w:r>
          </w:p>
        </w:tc>
      </w:tr>
      <w:tr w:rsidRPr="000B7D0D" w:rsidR="0083358D" w:rsidTr="3121356F"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3121356F" w:rsidRDefault="0083358D" w14:paraId="3EF42149" w14:textId="6C02A862">
            <w:pPr>
              <w:pStyle w:val="Listparagraf"/>
              <w:numPr>
                <w:ilvl w:val="0"/>
                <w:numId w:val="4"/>
              </w:numPr>
              <w:spacing w:after="0" w:line="240" w:lineRule="auto"/>
              <w:rPr>
                <w:rFonts w:ascii="Times New Roman" w:hAnsi="Times New Roman" w:eastAsia="Times New Roman" w:cs="Times New Roman"/>
                <w:noProof w:val="0"/>
                <w:sz w:val="24"/>
                <w:szCs w:val="24"/>
                <w:lang w:val="ro-RO"/>
              </w:rPr>
            </w:pPr>
            <w:r w:rsidRPr="3121356F" w:rsidR="1B58FE92">
              <w:rPr>
                <w:rFonts w:ascii="Times New Roman" w:hAnsi="Times New Roman" w:eastAsia="Times New Roman" w:cs="Times New Roman"/>
                <w:noProof w:val="0"/>
                <w:sz w:val="22"/>
                <w:szCs w:val="22"/>
                <w:lang w:val="ro-RO"/>
              </w:rPr>
              <w:t>Cunoașterea și înțelegerea dinamicii dezvoltării organizaționale și a managementului schimbării;</w:t>
            </w:r>
          </w:p>
          <w:p w:rsidRPr="00694E26" w:rsidR="0083358D" w:rsidP="3121356F" w:rsidRDefault="0083358D" w14:paraId="79221292" w14:textId="612AEB93">
            <w:pPr>
              <w:pStyle w:val="Listparagraf"/>
              <w:numPr>
                <w:ilvl w:val="0"/>
                <w:numId w:val="4"/>
              </w:numPr>
              <w:spacing w:before="0" w:beforeAutospacing="off" w:after="0" w:afterAutospacing="off" w:line="257" w:lineRule="auto"/>
              <w:ind w:right="0"/>
              <w:rPr>
                <w:rFonts w:ascii="Times New Roman" w:hAnsi="Times New Roman" w:eastAsia="Times New Roman" w:cs="Times New Roman"/>
                <w:noProof w:val="0"/>
                <w:sz w:val="24"/>
                <w:szCs w:val="24"/>
                <w:lang w:val="ro-RO"/>
              </w:rPr>
            </w:pPr>
            <w:r w:rsidRPr="3121356F" w:rsidR="1B58FE92">
              <w:rPr>
                <w:rFonts w:ascii="Times New Roman" w:hAnsi="Times New Roman" w:eastAsia="Times New Roman" w:cs="Times New Roman"/>
                <w:noProof w:val="0"/>
                <w:sz w:val="22"/>
                <w:szCs w:val="22"/>
                <w:lang w:val="ro-RO"/>
              </w:rPr>
              <w:t>Dobândirea de cunoștințe privind practici, tehnici și intervenții asociate cu un management eficient al schimbării organizaționale:</w:t>
            </w:r>
          </w:p>
          <w:p w:rsidRPr="00694E26" w:rsidR="0083358D" w:rsidP="3121356F" w:rsidRDefault="0083358D" w14:paraId="56BF5DBA" w14:textId="1BFA37E3">
            <w:pPr>
              <w:pStyle w:val="Listparagraf"/>
              <w:numPr>
                <w:ilvl w:val="0"/>
                <w:numId w:val="4"/>
              </w:numPr>
              <w:spacing w:before="0" w:beforeAutospacing="off" w:after="0" w:afterAutospacing="off" w:line="257" w:lineRule="auto"/>
              <w:ind w:right="0"/>
              <w:rPr>
                <w:rFonts w:ascii="Times New Roman" w:hAnsi="Times New Roman" w:eastAsia="Times New Roman" w:cs="Times New Roman"/>
                <w:noProof w:val="0"/>
                <w:sz w:val="24"/>
                <w:szCs w:val="24"/>
                <w:lang w:val="ro-RO"/>
              </w:rPr>
            </w:pPr>
            <w:r w:rsidRPr="3121356F" w:rsidR="1B58FE92">
              <w:rPr>
                <w:rFonts w:ascii="Times New Roman" w:hAnsi="Times New Roman" w:eastAsia="Times New Roman" w:cs="Times New Roman"/>
                <w:noProof w:val="0"/>
                <w:sz w:val="22"/>
                <w:szCs w:val="22"/>
                <w:lang w:val="ro-RO"/>
              </w:rPr>
              <w:t>Dezvoltarea unei perspective critice asupra discursului managerial dominant privind dezvoltarea organizațională și managementul schimbării;</w:t>
            </w:r>
          </w:p>
          <w:p w:rsidRPr="00694E26" w:rsidR="0083358D" w:rsidP="3121356F" w:rsidRDefault="0083358D" w14:paraId="49C8C8EF" w14:textId="6B2C7D5F">
            <w:pPr>
              <w:pStyle w:val="Listparagraf"/>
              <w:numPr>
                <w:ilvl w:val="0"/>
                <w:numId w:val="4"/>
              </w:numPr>
              <w:spacing w:before="220" w:beforeAutospacing="off" w:after="160" w:afterAutospacing="off" w:line="257" w:lineRule="auto"/>
              <w:rPr>
                <w:rFonts w:ascii="Times New Roman" w:hAnsi="Times New Roman" w:eastAsia="Times New Roman" w:cs="Times New Roman"/>
                <w:noProof w:val="0"/>
                <w:sz w:val="24"/>
                <w:szCs w:val="24"/>
                <w:lang w:val="ro-RO"/>
              </w:rPr>
            </w:pPr>
            <w:r w:rsidRPr="3121356F" w:rsidR="1B58FE92">
              <w:rPr>
                <w:rFonts w:ascii="Times New Roman" w:hAnsi="Times New Roman" w:eastAsia="Times New Roman" w:cs="Times New Roman"/>
                <w:noProof w:val="0"/>
                <w:sz w:val="22"/>
                <w:szCs w:val="22"/>
                <w:lang w:val="ro-RO"/>
              </w:rPr>
              <w:t>Înțelegerea impactului dezvoltării și schimbării organizaționale asupra resursei umane și a elementelor care susțin, facilitează sau împiedică procesele de dezvoltare, învățare și schimbare organizațională.</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3121356F"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3121356F" w14:paraId="24407265" w14:textId="77777777">
        <w:trPr>
          <w:trHeight w:val="284"/>
        </w:trPr>
        <w:tc>
          <w:tcPr>
            <w:tcW w:w="4395" w:type="dxa"/>
            <w:tcMar/>
            <w:vAlign w:val="center"/>
          </w:tcPr>
          <w:p w:rsidR="3121356F" w:rsidP="3121356F" w:rsidRDefault="3121356F" w14:paraId="089A46BB" w14:textId="57652044">
            <w:pPr>
              <w:pStyle w:val="Listparagraf"/>
              <w:numPr>
                <w:ilvl w:val="0"/>
                <w:numId w:val="5"/>
              </w:numPr>
              <w:spacing w:before="0" w:beforeAutospacing="off" w:after="0" w:afterAutospacing="off" w:line="257" w:lineRule="auto"/>
              <w:ind w:left="425" w:right="0" w:hanging="425"/>
              <w:jc w:val="both"/>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Organizația - definiție, tipuri de structuri organizatorice</w:t>
            </w:r>
            <w:r w:rsidRPr="3121356F" w:rsidR="3121356F">
              <w:rPr>
                <w:rFonts w:ascii="Times New Roman" w:hAnsi="Times New Roman" w:eastAsia="Times New Roman" w:cs="Times New Roman"/>
                <w:sz w:val="22"/>
                <w:szCs w:val="22"/>
              </w:rPr>
              <w:t xml:space="preserve"> </w:t>
            </w:r>
          </w:p>
          <w:p w:rsidR="3121356F" w:rsidP="3121356F" w:rsidRDefault="3121356F" w14:paraId="3E13BD7B" w14:textId="5C8862B1">
            <w:pPr>
              <w:spacing w:before="220" w:beforeAutospacing="off" w:after="200" w:afterAutospacing="off" w:line="257" w:lineRule="auto"/>
            </w:pPr>
            <w:r w:rsidRPr="3121356F" w:rsidR="3121356F">
              <w:rPr>
                <w:rFonts w:ascii="Times New Roman" w:hAnsi="Times New Roman" w:eastAsia="Times New Roman" w:cs="Times New Roman"/>
                <w:sz w:val="22"/>
                <w:szCs w:val="22"/>
              </w:rPr>
              <w:t>structuri clasice, de tip rețea, organizația virtuală; motive schimbare structură organizatorică;</w:t>
            </w:r>
          </w:p>
        </w:tc>
        <w:tc>
          <w:tcPr>
            <w:tcW w:w="3119" w:type="dxa"/>
            <w:tcMar/>
            <w:vAlign w:val="center"/>
          </w:tcPr>
          <w:p w:rsidR="3121356F" w:rsidP="3121356F" w:rsidRDefault="3121356F" w14:paraId="564EBB6C" w14:textId="2E30CDC0">
            <w:pPr>
              <w:spacing w:before="220" w:beforeAutospacing="off" w:after="160" w:afterAutospacing="off" w:line="257" w:lineRule="auto"/>
            </w:pPr>
            <w:r w:rsidRPr="3121356F" w:rsidR="3121356F">
              <w:rPr>
                <w:rFonts w:ascii="Times New Roman" w:hAnsi="Times New Roman" w:eastAsia="Times New Roman" w:cs="Times New Roman"/>
                <w:sz w:val="22"/>
                <w:szCs w:val="22"/>
              </w:rPr>
              <w:t>Prelegere (însoțită de prezentare PP), dialog, problematizare, exemplificare</w:t>
            </w: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3121356F" w14:paraId="0B451E2D" w14:textId="77777777">
        <w:trPr>
          <w:trHeight w:val="284"/>
        </w:trPr>
        <w:tc>
          <w:tcPr>
            <w:tcW w:w="4395" w:type="dxa"/>
            <w:tcMar/>
            <w:vAlign w:val="center"/>
          </w:tcPr>
          <w:p w:rsidR="3121356F" w:rsidP="3121356F" w:rsidRDefault="3121356F" w14:paraId="61261EDE" w14:textId="09EA9AA8">
            <w:pPr>
              <w:pStyle w:val="Listparagraf"/>
              <w:numPr>
                <w:ilvl w:val="0"/>
                <w:numId w:val="5"/>
              </w:numPr>
              <w:spacing w:before="0" w:beforeAutospacing="off" w:after="0" w:afterAutospacing="off" w:line="257" w:lineRule="auto"/>
              <w:ind w:right="0"/>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Dezvoltarea organizațională – definire, teorii, critici</w:t>
            </w:r>
          </w:p>
          <w:p w:rsidR="3121356F" w:rsidP="3121356F" w:rsidRDefault="3121356F" w14:paraId="792F4ECA" w14:textId="428FFAAB">
            <w:pPr>
              <w:spacing w:before="220" w:beforeAutospacing="off" w:after="0" w:afterAutospacing="off" w:line="257" w:lineRule="auto"/>
            </w:pPr>
            <w:r w:rsidRPr="3121356F" w:rsidR="3121356F">
              <w:rPr>
                <w:rFonts w:ascii="Times New Roman" w:hAnsi="Times New Roman" w:eastAsia="Times New Roman" w:cs="Times New Roman"/>
                <w:sz w:val="22"/>
                <w:szCs w:val="22"/>
              </w:rPr>
              <w:t>Definire și critici ale diferitelor definiri; viziunea managerială, teorii interpretativ-simbolice, deconstructivismul</w:t>
            </w:r>
          </w:p>
        </w:tc>
        <w:tc>
          <w:tcPr>
            <w:tcW w:w="3119" w:type="dxa"/>
            <w:tcMar/>
            <w:vAlign w:val="center"/>
          </w:tcPr>
          <w:p w:rsidR="3121356F" w:rsidP="3121356F" w:rsidRDefault="3121356F" w14:paraId="4F684B85" w14:textId="0BBA1B21">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dezbatere</w:t>
            </w: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3121356F" w14:paraId="047DE1FD" w14:textId="77777777">
        <w:trPr>
          <w:trHeight w:val="284"/>
        </w:trPr>
        <w:tc>
          <w:tcPr>
            <w:tcW w:w="4395" w:type="dxa"/>
            <w:tcMar/>
            <w:vAlign w:val="center"/>
          </w:tcPr>
          <w:p w:rsidR="3121356F" w:rsidP="3121356F" w:rsidRDefault="3121356F" w14:paraId="3D2E5CA6" w14:textId="5026C20F">
            <w:pPr>
              <w:pStyle w:val="Listparagraf"/>
              <w:numPr>
                <w:ilvl w:val="0"/>
                <w:numId w:val="5"/>
              </w:numPr>
              <w:spacing w:before="0" w:beforeAutospacing="off" w:after="0" w:afterAutospacing="off" w:line="257" w:lineRule="auto"/>
              <w:ind w:right="0"/>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 xml:space="preserve">Dezvoltarea organizațională - procese, forme </w:t>
            </w:r>
            <w:r w:rsidRPr="3121356F" w:rsidR="3121356F">
              <w:rPr>
                <w:rFonts w:ascii="Times New Roman" w:hAnsi="Times New Roman" w:eastAsia="Times New Roman" w:cs="Times New Roman"/>
                <w:sz w:val="22"/>
                <w:szCs w:val="22"/>
              </w:rPr>
              <w:t xml:space="preserve">(ex.: internaționalizare, privatizare, </w:t>
            </w:r>
            <w:r w:rsidRPr="3121356F" w:rsidR="3121356F">
              <w:rPr>
                <w:rFonts w:ascii="Times New Roman" w:hAnsi="Times New Roman" w:eastAsia="Times New Roman" w:cs="Times New Roman"/>
                <w:i w:val="1"/>
                <w:iCs w:val="1"/>
                <w:sz w:val="22"/>
                <w:szCs w:val="22"/>
              </w:rPr>
              <w:t>downsizing</w:t>
            </w:r>
            <w:r w:rsidRPr="3121356F" w:rsidR="3121356F">
              <w:rPr>
                <w:rFonts w:ascii="Times New Roman" w:hAnsi="Times New Roman" w:eastAsia="Times New Roman" w:cs="Times New Roman"/>
                <w:sz w:val="22"/>
                <w:szCs w:val="22"/>
              </w:rPr>
              <w:t>, achiziții, fuziuni, Total Quality Management, schimbarea structurii organizatorice etc.)</w:t>
            </w:r>
          </w:p>
        </w:tc>
        <w:tc>
          <w:tcPr>
            <w:tcW w:w="3119" w:type="dxa"/>
            <w:tcMar/>
            <w:vAlign w:val="center"/>
          </w:tcPr>
          <w:p w:rsidR="3121356F" w:rsidP="3121356F" w:rsidRDefault="3121356F" w14:paraId="574B3680" w14:textId="11DA5188">
            <w:pPr>
              <w:spacing w:before="220" w:beforeAutospacing="off" w:after="160" w:afterAutospacing="off" w:line="257"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3121356F" w14:paraId="30D75F9C" w14:textId="77777777">
        <w:trPr>
          <w:trHeight w:val="284"/>
        </w:trPr>
        <w:tc>
          <w:tcPr>
            <w:tcW w:w="4395" w:type="dxa"/>
            <w:tcMar/>
            <w:vAlign w:val="center"/>
          </w:tcPr>
          <w:p w:rsidR="3121356F" w:rsidP="3121356F" w:rsidRDefault="3121356F" w14:paraId="3A06E343" w14:textId="2CCA89AB">
            <w:pPr>
              <w:pStyle w:val="Listparagraf"/>
              <w:numPr>
                <w:ilvl w:val="0"/>
                <w:numId w:val="5"/>
              </w:numPr>
              <w:spacing w:before="0" w:beforeAutospacing="off" w:after="0" w:afterAutospacing="off" w:line="257" w:lineRule="auto"/>
              <w:ind w:right="0"/>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Factori ai schimbării organizaționale și tipuri de schimbare organizațională</w:t>
            </w:r>
          </w:p>
          <w:p w:rsidR="3121356F" w:rsidP="3121356F" w:rsidRDefault="3121356F" w14:paraId="008FC649" w14:textId="0A8ADA75">
            <w:pPr>
              <w:tabs>
                <w:tab w:val="left" w:leader="none" w:pos="360"/>
              </w:tabs>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Factori interni și externi; schimbare de dezvoltare, de tranziție, transformațională </w:t>
            </w:r>
          </w:p>
        </w:tc>
        <w:tc>
          <w:tcPr>
            <w:tcW w:w="3119" w:type="dxa"/>
            <w:tcMar/>
            <w:vAlign w:val="center"/>
          </w:tcPr>
          <w:p w:rsidR="3121356F" w:rsidP="3121356F" w:rsidRDefault="3121356F" w14:paraId="10AD8DF4" w14:textId="7248BE0B">
            <w:pPr>
              <w:spacing w:before="220" w:beforeAutospacing="off" w:after="160" w:afterAutospacing="off" w:line="257"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3121356F"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2172BAB7" w14:textId="1A111A6F">
            <w:pPr>
              <w:pStyle w:val="Listparagraf"/>
              <w:numPr>
                <w:ilvl w:val="0"/>
                <w:numId w:val="5"/>
              </w:numPr>
              <w:spacing w:before="0" w:beforeAutospacing="off" w:after="0" w:afterAutospacing="off" w:line="257" w:lineRule="auto"/>
              <w:ind w:right="0"/>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Teorii ale schimbării și învățării organizaționale</w:t>
            </w:r>
          </w:p>
          <w:p w:rsidR="3121356F" w:rsidP="3121356F" w:rsidRDefault="3121356F" w14:paraId="49A3E3A1" w14:textId="699FFB37">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Modelul lui Lewin, restructurarea organizației, adaptarea personală, marele model pe 3 dimensiuni, modelul lui Nadler și Tushman, modele culturale, modele de schimbare planificată </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0873C8E" w14:textId="534BF778">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3121356F"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682BA308" w14:textId="5EA16059">
            <w:pPr>
              <w:pStyle w:val="Listparagraf"/>
              <w:numPr>
                <w:ilvl w:val="0"/>
                <w:numId w:val="5"/>
              </w:numPr>
              <w:spacing w:before="0" w:beforeAutospacing="off" w:after="0" w:afterAutospacing="off" w:line="257" w:lineRule="auto"/>
              <w:ind w:right="0"/>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 xml:space="preserve">Impactul schimbării organizaționale asupra resursei umane (I) </w:t>
            </w:r>
            <w:r w:rsidRPr="3121356F" w:rsidR="3121356F">
              <w:rPr>
                <w:rFonts w:ascii="Times New Roman" w:hAnsi="Times New Roman" w:eastAsia="Times New Roman" w:cs="Times New Roman"/>
                <w:sz w:val="22"/>
                <w:szCs w:val="22"/>
              </w:rPr>
              <w:t>-</w:t>
            </w:r>
            <w:r w:rsidRPr="3121356F" w:rsidR="12BF6ECC">
              <w:rPr>
                <w:rFonts w:ascii="Times New Roman" w:hAnsi="Times New Roman" w:eastAsia="Times New Roman" w:cs="Times New Roman"/>
                <w:sz w:val="22"/>
                <w:szCs w:val="22"/>
              </w:rPr>
              <w:t xml:space="preserve"> </w:t>
            </w:r>
            <w:r w:rsidRPr="3121356F" w:rsidR="3121356F">
              <w:rPr>
                <w:rFonts w:ascii="Times New Roman" w:hAnsi="Times New Roman" w:eastAsia="Times New Roman" w:cs="Times New Roman"/>
                <w:sz w:val="22"/>
                <w:szCs w:val="22"/>
              </w:rPr>
              <w:t>rezistența la schimbare, ciclul adaptării la schimbare</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095702DE" w14:textId="2D713EE5">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3121356F"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5A1623EE" w14:textId="3707A2A4">
            <w:pPr>
              <w:pStyle w:val="Listparagraf"/>
              <w:numPr>
                <w:ilvl w:val="0"/>
                <w:numId w:val="5"/>
              </w:numPr>
              <w:spacing w:before="0" w:beforeAutospacing="off" w:after="0" w:afterAutospacing="off" w:line="257" w:lineRule="auto"/>
              <w:ind w:right="0"/>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Impactul schimbării organizaționale asupra resursei umane (II)</w:t>
            </w:r>
            <w:r w:rsidRPr="3121356F" w:rsidR="3121356F">
              <w:rPr>
                <w:rFonts w:ascii="Times New Roman" w:hAnsi="Times New Roman" w:eastAsia="Times New Roman" w:cs="Times New Roman"/>
                <w:sz w:val="22"/>
                <w:szCs w:val="22"/>
              </w:rPr>
              <w:t xml:space="preserve"> - rolul culturii organizaționale în facilitarea/împiedicarea schimbării; leadership și schimbare</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516A1FD7" w14:textId="2254328C">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3121356F"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C28EF17" w14:textId="13702DA3">
            <w:pPr>
              <w:pStyle w:val="Listparagraf"/>
              <w:numPr>
                <w:ilvl w:val="0"/>
                <w:numId w:val="5"/>
              </w:numPr>
              <w:spacing w:before="0" w:beforeAutospacing="off" w:after="0" w:afterAutospacing="off" w:line="257" w:lineRule="auto"/>
              <w:ind w:right="0"/>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 xml:space="preserve">Managementul schimbării organizaționale </w:t>
            </w:r>
            <w:r w:rsidRPr="3121356F" w:rsidR="3121356F">
              <w:rPr>
                <w:rFonts w:ascii="Times New Roman" w:hAnsi="Times New Roman" w:eastAsia="Times New Roman" w:cs="Times New Roman"/>
                <w:sz w:val="22"/>
                <w:szCs w:val="22"/>
              </w:rPr>
              <w:t xml:space="preserve">- tehnici, practici, intervenții (rolul narațiunilor, rolul modelelor, rolul formelor de </w:t>
            </w:r>
            <w:r w:rsidRPr="3121356F" w:rsidR="3121356F">
              <w:rPr>
                <w:rFonts w:ascii="Times New Roman" w:hAnsi="Times New Roman" w:eastAsia="Times New Roman" w:cs="Times New Roman"/>
                <w:i w:val="1"/>
                <w:iCs w:val="1"/>
                <w:sz w:val="22"/>
                <w:szCs w:val="22"/>
              </w:rPr>
              <w:t>empowerment</w:t>
            </w:r>
            <w:r w:rsidRPr="3121356F" w:rsidR="3121356F">
              <w:rPr>
                <w:rFonts w:ascii="Times New Roman" w:hAnsi="Times New Roman" w:eastAsia="Times New Roman" w:cs="Times New Roman"/>
                <w:sz w:val="22"/>
                <w:szCs w:val="22"/>
              </w:rPr>
              <w:t xml:space="preserve"> al angajaților, rolul politicilor de resurse umane)</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A170038" w14:textId="4CA67E7F">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29A27503" w14:textId="194E5856">
            <w:pPr>
              <w:pStyle w:val="Listparagraf"/>
              <w:numPr>
                <w:ilvl w:val="0"/>
                <w:numId w:val="5"/>
              </w:numPr>
              <w:spacing w:before="0" w:beforeAutospacing="off" w:after="0" w:afterAutospacing="off" w:line="257" w:lineRule="auto"/>
              <w:ind w:right="0"/>
              <w:jc w:val="both"/>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Intervenții de dezvoltare organizațională la nivel de individ și grup</w:t>
            </w:r>
          </w:p>
          <w:p w:rsidR="3121356F" w:rsidP="3121356F" w:rsidRDefault="3121356F" w14:paraId="60061A1B" w14:textId="0D188082">
            <w:pPr>
              <w:spacing w:before="220" w:beforeAutospacing="off" w:after="200" w:afterAutospacing="off" w:line="257" w:lineRule="auto"/>
            </w:pPr>
            <w:r w:rsidRPr="3121356F" w:rsidR="3121356F">
              <w:rPr>
                <w:rFonts w:ascii="Times New Roman" w:hAnsi="Times New Roman" w:eastAsia="Times New Roman" w:cs="Times New Roman"/>
                <w:sz w:val="22"/>
                <w:szCs w:val="22"/>
              </w:rPr>
              <w:t>Training-uri, coaching, proiectarea și descrierea postului, clarificarea și integrarea valorilor; teambuilding; sesiuni de dialog, managementul conflictelor etc.</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3FBE1560" w14:textId="40E4F725">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739C8A20" w14:textId="4CA57BB5">
            <w:pPr>
              <w:pStyle w:val="Listparagraf"/>
              <w:numPr>
                <w:ilvl w:val="0"/>
                <w:numId w:val="5"/>
              </w:numPr>
              <w:spacing w:before="0" w:beforeAutospacing="off" w:after="0" w:afterAutospacing="off" w:line="257" w:lineRule="auto"/>
              <w:ind w:right="0"/>
              <w:rPr>
                <w:rFonts w:ascii="Times New Roman" w:hAnsi="Times New Roman" w:eastAsia="Times New Roman" w:cs="Times New Roman"/>
                <w:sz w:val="22"/>
                <w:szCs w:val="22"/>
              </w:rPr>
            </w:pPr>
            <w:r w:rsidRPr="3121356F" w:rsidR="3121356F">
              <w:rPr>
                <w:rFonts w:ascii="Times New Roman" w:hAnsi="Times New Roman" w:eastAsia="Times New Roman" w:cs="Times New Roman"/>
                <w:b w:val="1"/>
                <w:bCs w:val="1"/>
                <w:sz w:val="22"/>
                <w:szCs w:val="22"/>
              </w:rPr>
              <w:t xml:space="preserve">Intervenții de dezvoltare organizațională la nivel de structură organizațională </w:t>
            </w:r>
            <w:r w:rsidRPr="3121356F" w:rsidR="3121356F">
              <w:rPr>
                <w:rFonts w:ascii="Times New Roman" w:hAnsi="Times New Roman" w:eastAsia="Times New Roman" w:cs="Times New Roman"/>
                <w:sz w:val="22"/>
                <w:szCs w:val="22"/>
              </w:rPr>
              <w:t xml:space="preserve">(ex.: </w:t>
            </w:r>
            <w:r w:rsidRPr="3121356F" w:rsidR="3121356F">
              <w:rPr>
                <w:rFonts w:ascii="Times New Roman" w:hAnsi="Times New Roman" w:eastAsia="Times New Roman" w:cs="Times New Roman"/>
                <w:i w:val="1"/>
                <w:iCs w:val="1"/>
                <w:sz w:val="22"/>
                <w:szCs w:val="22"/>
              </w:rPr>
              <w:t>downsizing</w:t>
            </w:r>
            <w:r w:rsidRPr="3121356F" w:rsidR="3121356F">
              <w:rPr>
                <w:rFonts w:ascii="Times New Roman" w:hAnsi="Times New Roman" w:eastAsia="Times New Roman" w:cs="Times New Roman"/>
                <w:i w:val="1"/>
                <w:iCs w:val="1"/>
                <w:sz w:val="22"/>
                <w:szCs w:val="22"/>
              </w:rPr>
              <w:t xml:space="preserve">, </w:t>
            </w:r>
            <w:r w:rsidRPr="3121356F" w:rsidR="3121356F">
              <w:rPr>
                <w:rFonts w:ascii="Times New Roman" w:hAnsi="Times New Roman" w:eastAsia="Times New Roman" w:cs="Times New Roman"/>
                <w:i w:val="1"/>
                <w:iCs w:val="1"/>
                <w:sz w:val="22"/>
                <w:szCs w:val="22"/>
              </w:rPr>
              <w:t>reengineering</w:t>
            </w:r>
            <w:r w:rsidRPr="3121356F" w:rsidR="3121356F">
              <w:rPr>
                <w:rFonts w:ascii="Times New Roman" w:hAnsi="Times New Roman" w:eastAsia="Times New Roman" w:cs="Times New Roman"/>
                <w:sz w:val="22"/>
                <w:szCs w:val="22"/>
              </w:rPr>
              <w:t>, inovare strategică, etc.)</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E9D6BBA" w14:textId="34D2FF90">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3121356F" w:rsidRDefault="00796905" w14:paraId="5A61976C" w14:textId="475201AA">
            <w:pPr>
              <w:pStyle w:val="Listparagraf"/>
              <w:numPr>
                <w:ilvl w:val="0"/>
                <w:numId w:val="5"/>
              </w:numPr>
              <w:spacing w:before="0" w:beforeAutospacing="off" w:after="0" w:afterAutospacing="off" w:line="257" w:lineRule="auto"/>
              <w:ind w:right="0"/>
              <w:jc w:val="both"/>
              <w:rPr>
                <w:rFonts w:ascii="Times New Roman" w:hAnsi="Times New Roman" w:eastAsia="Times New Roman" w:cs="Times New Roman"/>
                <w:b w:val="1"/>
                <w:bCs w:val="1"/>
                <w:noProof w:val="0"/>
                <w:sz w:val="22"/>
                <w:szCs w:val="22"/>
                <w:lang w:val="ro-RO"/>
              </w:rPr>
            </w:pPr>
            <w:r w:rsidRPr="3121356F" w:rsidR="4BDDE521">
              <w:rPr>
                <w:rFonts w:ascii="Times New Roman" w:hAnsi="Times New Roman" w:eastAsia="Times New Roman" w:cs="Times New Roman"/>
                <w:b w:val="1"/>
                <w:bCs w:val="1"/>
                <w:noProof w:val="0"/>
                <w:sz w:val="22"/>
                <w:szCs w:val="22"/>
                <w:lang w:val="ro-RO"/>
              </w:rPr>
              <w:t>Managementul cunoașterii (</w:t>
            </w:r>
            <w:r w:rsidRPr="3121356F" w:rsidR="4BDDE521">
              <w:rPr>
                <w:rFonts w:ascii="Times New Roman" w:hAnsi="Times New Roman" w:eastAsia="Times New Roman" w:cs="Times New Roman"/>
                <w:b w:val="1"/>
                <w:bCs w:val="1"/>
                <w:i w:val="1"/>
                <w:iCs w:val="1"/>
                <w:noProof w:val="0"/>
                <w:sz w:val="22"/>
                <w:szCs w:val="22"/>
                <w:lang w:val="ro-RO"/>
              </w:rPr>
              <w:t>knowledge</w:t>
            </w:r>
            <w:r w:rsidRPr="3121356F" w:rsidR="4BDDE521">
              <w:rPr>
                <w:rFonts w:ascii="Times New Roman" w:hAnsi="Times New Roman" w:eastAsia="Times New Roman" w:cs="Times New Roman"/>
                <w:b w:val="1"/>
                <w:bCs w:val="1"/>
                <w:i w:val="1"/>
                <w:iCs w:val="1"/>
                <w:noProof w:val="0"/>
                <w:sz w:val="22"/>
                <w:szCs w:val="22"/>
                <w:lang w:val="ro-RO"/>
              </w:rPr>
              <w:t xml:space="preserve"> management</w:t>
            </w:r>
            <w:r w:rsidRPr="3121356F" w:rsidR="4BDDE521">
              <w:rPr>
                <w:rFonts w:ascii="Times New Roman" w:hAnsi="Times New Roman" w:eastAsia="Times New Roman" w:cs="Times New Roman"/>
                <w:b w:val="1"/>
                <w:bCs w:val="1"/>
                <w:noProof w:val="0"/>
                <w:sz w:val="22"/>
                <w:szCs w:val="22"/>
                <w:lang w:val="ro-RO"/>
              </w:rPr>
              <w:t>) și organizația care învață (</w:t>
            </w:r>
            <w:r w:rsidRPr="3121356F" w:rsidR="4BDDE521">
              <w:rPr>
                <w:rFonts w:ascii="Times New Roman" w:hAnsi="Times New Roman" w:eastAsia="Times New Roman" w:cs="Times New Roman"/>
                <w:b w:val="1"/>
                <w:bCs w:val="1"/>
                <w:i w:val="1"/>
                <w:iCs w:val="1"/>
                <w:noProof w:val="0"/>
                <w:sz w:val="22"/>
                <w:szCs w:val="22"/>
                <w:lang w:val="ro-RO"/>
              </w:rPr>
              <w:t>learning</w:t>
            </w:r>
            <w:r w:rsidRPr="3121356F" w:rsidR="4BDDE521">
              <w:rPr>
                <w:rFonts w:ascii="Times New Roman" w:hAnsi="Times New Roman" w:eastAsia="Times New Roman" w:cs="Times New Roman"/>
                <w:b w:val="1"/>
                <w:bCs w:val="1"/>
                <w:i w:val="1"/>
                <w:iCs w:val="1"/>
                <w:noProof w:val="0"/>
                <w:sz w:val="22"/>
                <w:szCs w:val="22"/>
                <w:lang w:val="ro-RO"/>
              </w:rPr>
              <w:t xml:space="preserve"> </w:t>
            </w:r>
            <w:r w:rsidRPr="3121356F" w:rsidR="4BDDE521">
              <w:rPr>
                <w:rFonts w:ascii="Times New Roman" w:hAnsi="Times New Roman" w:eastAsia="Times New Roman" w:cs="Times New Roman"/>
                <w:b w:val="1"/>
                <w:bCs w:val="1"/>
                <w:i w:val="1"/>
                <w:iCs w:val="1"/>
                <w:noProof w:val="0"/>
                <w:sz w:val="22"/>
                <w:szCs w:val="22"/>
                <w:lang w:val="ro-RO"/>
              </w:rPr>
              <w:t>organisation</w:t>
            </w:r>
            <w:r w:rsidRPr="3121356F" w:rsidR="4BDDE521">
              <w:rPr>
                <w:rFonts w:ascii="Times New Roman" w:hAnsi="Times New Roman" w:eastAsia="Times New Roman" w:cs="Times New Roman"/>
                <w:b w:val="1"/>
                <w:bCs w:val="1"/>
                <w:noProof w:val="0"/>
                <w:sz w:val="22"/>
                <w:szCs w:val="22"/>
                <w:lang w:val="ro-RO"/>
              </w:rPr>
              <w:t>)</w:t>
            </w:r>
          </w:p>
          <w:p w:rsidR="00796905" w:rsidP="3121356F" w:rsidRDefault="00796905" w14:paraId="7AE179FF" w14:textId="034FEE1B">
            <w:pPr>
              <w:spacing w:before="220" w:beforeAutospacing="off" w:after="160" w:afterAutospacing="off" w:line="257" w:lineRule="auto"/>
            </w:pPr>
            <w:r w:rsidRPr="3121356F" w:rsidR="4BDDE521">
              <w:rPr>
                <w:rFonts w:ascii="Times New Roman" w:hAnsi="Times New Roman" w:eastAsia="Times New Roman" w:cs="Times New Roman"/>
                <w:noProof w:val="0"/>
                <w:sz w:val="22"/>
                <w:szCs w:val="22"/>
                <w:lang w:val="ro-RO"/>
              </w:rPr>
              <w:t>Cunoștințe explicite/implicite; rolul culturii organizaționale și al socializării în transmiterea cunoașterii organizaționale; creativitate individuală/managerială; ciclul învățării experiențiale al lui Kolb;  politici și practici manageriale de stimulare/inhibare a învățării;</w:t>
            </w:r>
          </w:p>
          <w:p w:rsidR="00796905" w:rsidP="00373CCF" w:rsidRDefault="00796905" w14:paraId="320DED96" w14:textId="03DB3D36">
            <w:pPr>
              <w:spacing w:after="0" w:line="240" w:lineRule="auto"/>
              <w:rPr>
                <w:rFonts w:ascii="Cambria" w:hAnsi="Cambria" w:eastAsia="Calibri" w:cs="Times New Roman"/>
                <w:kern w:val="0"/>
                <w:sz w:val="20"/>
                <w:szCs w:val="20"/>
                <w14:ligatures w14:val="none"/>
              </w:rPr>
            </w:pP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2D0C7ACC" w14:textId="0A68452D">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00796905" w:rsidP="3121356F" w:rsidRDefault="00796905" w14:paraId="66A714FB" w14:textId="3F018B7C">
            <w:pPr>
              <w:pStyle w:val="Listparagraf"/>
              <w:numPr>
                <w:ilvl w:val="0"/>
                <w:numId w:val="5"/>
              </w:numPr>
              <w:spacing w:after="0" w:line="240" w:lineRule="auto"/>
              <w:rPr>
                <w:rFonts w:ascii="Times New Roman" w:hAnsi="Times New Roman" w:eastAsia="Times New Roman" w:cs="Times New Roman"/>
                <w:b w:val="1"/>
                <w:bCs w:val="1"/>
                <w:noProof w:val="0"/>
                <w:sz w:val="24"/>
                <w:szCs w:val="24"/>
                <w:lang w:val="ro-RO"/>
              </w:rPr>
            </w:pPr>
            <w:r w:rsidR="0639D92E">
              <w:rPr>
                <w:rFonts w:ascii="Cambria" w:hAnsi="Cambria" w:eastAsia="Calibri" w:cs="Times New Roman"/>
                <w:kern w:val="0"/>
                <w:sz w:val="20"/>
                <w:szCs w:val="20"/>
                <w14:ligatures w14:val="none"/>
              </w:rPr>
              <w:t xml:space="preserve"> </w:t>
            </w:r>
            <w:r w:rsidRPr="3121356F" w:rsidR="4D95D61F">
              <w:rPr>
                <w:rFonts w:ascii="Times New Roman" w:hAnsi="Times New Roman" w:eastAsia="Times New Roman" w:cs="Times New Roman"/>
                <w:noProof w:val="0"/>
                <w:sz w:val="22"/>
                <w:szCs w:val="22"/>
                <w:lang w:val="ro-RO"/>
              </w:rPr>
              <w:t>S</w:t>
            </w:r>
            <w:r w:rsidRPr="3121356F" w:rsidR="4D95D61F">
              <w:rPr>
                <w:rFonts w:ascii="Times New Roman" w:hAnsi="Times New Roman" w:eastAsia="Times New Roman" w:cs="Times New Roman"/>
                <w:b w:val="1"/>
                <w:bCs w:val="1"/>
                <w:noProof w:val="0"/>
                <w:sz w:val="22"/>
                <w:szCs w:val="22"/>
                <w:lang w:val="ro-RO"/>
              </w:rPr>
              <w:t>chimbare și inovare în organizație</w:t>
            </w:r>
          </w:p>
          <w:p w:rsidR="00796905" w:rsidP="3121356F" w:rsidRDefault="00796905" w14:paraId="25FE7488" w14:textId="28C43177">
            <w:pPr>
              <w:pStyle w:val="Normal"/>
              <w:spacing w:before="220" w:beforeAutospacing="off" w:after="160" w:afterAutospacing="off" w:line="257" w:lineRule="auto"/>
              <w:ind w:left="0"/>
              <w:rPr>
                <w:rFonts w:ascii="Times New Roman" w:hAnsi="Times New Roman" w:eastAsia="Times New Roman" w:cs="Times New Roman"/>
                <w:noProof w:val="0"/>
                <w:sz w:val="24"/>
                <w:szCs w:val="24"/>
                <w:lang w:val="ro-RO"/>
              </w:rPr>
            </w:pPr>
            <w:r w:rsidRPr="3121356F" w:rsidR="4D95D61F">
              <w:rPr>
                <w:rFonts w:ascii="Times New Roman" w:hAnsi="Times New Roman" w:eastAsia="Times New Roman" w:cs="Times New Roman"/>
                <w:noProof w:val="0"/>
                <w:sz w:val="22"/>
                <w:szCs w:val="22"/>
                <w:lang w:val="ro-RO"/>
              </w:rPr>
              <w:t>Definire; tipuri de inovare: organizațională, de produs, de proces, de marketing;  etape ale procesului de inovare; cultura inovării;</w:t>
            </w:r>
          </w:p>
          <w:p w:rsidR="00796905" w:rsidP="00373CCF" w:rsidRDefault="00796905" w14:paraId="38F0946A" w14:textId="76143F91">
            <w:pPr>
              <w:spacing w:after="0" w:line="240" w:lineRule="auto"/>
              <w:rPr>
                <w:rFonts w:ascii="Cambria" w:hAnsi="Cambria" w:eastAsia="Calibri" w:cs="Times New Roman"/>
                <w:kern w:val="0"/>
                <w:sz w:val="20"/>
                <w:szCs w:val="20"/>
                <w14:ligatures w14:val="none"/>
              </w:rPr>
            </w:pP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6D11528" w14:textId="66759F0B">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6BF931A1" w14:textId="0000197B">
            <w:pPr>
              <w:pStyle w:val="Listparagraf"/>
              <w:numPr>
                <w:ilvl w:val="0"/>
                <w:numId w:val="5"/>
              </w:numPr>
              <w:spacing w:before="0" w:beforeAutospacing="off" w:after="0" w:afterAutospacing="off" w:line="257" w:lineRule="auto"/>
              <w:ind w:right="0"/>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Putere, politică și etică în dezvoltarea organizațională</w:t>
            </w:r>
          </w:p>
          <w:p w:rsidR="3121356F" w:rsidP="3121356F" w:rsidRDefault="3121356F" w14:paraId="0B1FD7AF" w14:textId="0D491E59">
            <w:pPr>
              <w:spacing w:before="220" w:beforeAutospacing="off" w:after="200" w:afterAutospacing="off" w:line="257" w:lineRule="auto"/>
            </w:pPr>
            <w:r w:rsidRPr="3121356F" w:rsidR="3121356F">
              <w:rPr>
                <w:rFonts w:ascii="Times New Roman" w:hAnsi="Times New Roman" w:eastAsia="Times New Roman" w:cs="Times New Roman"/>
                <w:sz w:val="22"/>
                <w:szCs w:val="22"/>
              </w:rPr>
              <w:t xml:space="preserve">Relații inegale de putere, acțiuni ”imorale”, </w:t>
            </w:r>
            <w:r w:rsidRPr="3121356F" w:rsidR="3121356F">
              <w:rPr>
                <w:rFonts w:ascii="Times New Roman" w:hAnsi="Times New Roman" w:eastAsia="Times New Roman" w:cs="Times New Roman"/>
                <w:i w:val="1"/>
                <w:iCs w:val="1"/>
                <w:sz w:val="22"/>
                <w:szCs w:val="22"/>
              </w:rPr>
              <w:t xml:space="preserve">enactement theory </w:t>
            </w:r>
            <w:r w:rsidRPr="3121356F" w:rsidR="3121356F">
              <w:rPr>
                <w:rFonts w:ascii="Times New Roman" w:hAnsi="Times New Roman" w:eastAsia="Times New Roman" w:cs="Times New Roman"/>
                <w:sz w:val="22"/>
                <w:szCs w:val="22"/>
              </w:rPr>
              <w:t>(K. Weick)</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4105F9CC" w14:textId="770A0A59">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3121356F"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2D260AF6" w14:textId="09C880D3">
            <w:pPr>
              <w:pStyle w:val="Listparagraf"/>
              <w:numPr>
                <w:ilvl w:val="0"/>
                <w:numId w:val="5"/>
              </w:numPr>
              <w:spacing w:before="0" w:beforeAutospacing="off" w:after="0" w:afterAutospacing="off" w:line="257" w:lineRule="auto"/>
              <w:ind w:right="0"/>
              <w:jc w:val="both"/>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Întreprinderea socială - model de schimbare și inovare</w:t>
            </w:r>
          </w:p>
          <w:p w:rsidR="3121356F" w:rsidP="3121356F" w:rsidRDefault="3121356F" w14:paraId="79F7F423" w14:textId="566A1C13">
            <w:pPr>
              <w:spacing w:before="220" w:beforeAutospacing="off" w:after="200" w:afterAutospacing="off" w:line="257" w:lineRule="auto"/>
            </w:pPr>
            <w:r w:rsidRPr="3121356F" w:rsidR="3121356F">
              <w:rPr>
                <w:rFonts w:ascii="Times New Roman" w:hAnsi="Times New Roman" w:eastAsia="Times New Roman" w:cs="Times New Roman"/>
                <w:sz w:val="22"/>
                <w:szCs w:val="22"/>
              </w:rPr>
              <w:t>Antreprenoriat social; forme de antreprenoriat social; întreprinderea socială ; valoare, inovare și schimbare socială;</w:t>
            </w:r>
          </w:p>
        </w:tc>
        <w:tc>
          <w:tcPr>
            <w:tcW w:w="3119" w:type="dxa"/>
            <w:tcBorders>
              <w:top w:val="single" w:color="auto" w:sz="4" w:space="0"/>
              <w:left w:val="single" w:color="auto" w:sz="4" w:space="0"/>
              <w:bottom w:val="single" w:color="auto" w:sz="4" w:space="0"/>
              <w:right w:val="single" w:color="auto" w:sz="4" w:space="0"/>
            </w:tcBorders>
            <w:tcMar/>
            <w:vAlign w:val="center"/>
          </w:tcPr>
          <w:p w:rsidR="3121356F" w:rsidP="3121356F" w:rsidRDefault="3121356F" w14:paraId="649E9153" w14:textId="67777500">
            <w:pPr>
              <w:spacing w:before="220" w:beforeAutospacing="off" w:after="200" w:afterAutospacing="off" w:line="274" w:lineRule="auto"/>
            </w:pPr>
            <w:r w:rsidRPr="3121356F" w:rsidR="3121356F">
              <w:rPr>
                <w:rFonts w:ascii="Times New Roman" w:hAnsi="Times New Roman" w:eastAsia="Times New Roman" w:cs="Times New Roman"/>
                <w:sz w:val="22"/>
                <w:szCs w:val="22"/>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3121356F" w14:paraId="6DEC7BC6" w14:textId="77777777">
        <w:trPr>
          <w:trHeight w:val="284"/>
        </w:trPr>
        <w:tc>
          <w:tcPr>
            <w:tcW w:w="10491" w:type="dxa"/>
            <w:gridSpan w:val="3"/>
            <w:tcMar/>
            <w:vAlign w:val="center"/>
          </w:tcPr>
          <w:p w:rsidR="3121356F" w:rsidP="3121356F" w:rsidRDefault="3121356F" w14:paraId="485A0766" w14:textId="21262D85">
            <w:pPr>
              <w:spacing w:before="220" w:beforeAutospacing="off" w:after="0" w:afterAutospacing="off" w:line="257" w:lineRule="auto"/>
              <w:jc w:val="both"/>
            </w:pPr>
            <w:r w:rsidRPr="3121356F" w:rsidR="3121356F">
              <w:rPr>
                <w:rFonts w:ascii="Times New Roman" w:hAnsi="Times New Roman" w:eastAsia="Times New Roman" w:cs="Times New Roman"/>
                <w:b w:val="1"/>
                <w:bCs w:val="1"/>
                <w:color w:val="000000" w:themeColor="text1" w:themeTint="FF" w:themeShade="FF"/>
                <w:sz w:val="22"/>
                <w:szCs w:val="22"/>
              </w:rPr>
              <w:t>8.3 Bibliografie</w:t>
            </w:r>
          </w:p>
          <w:p w:rsidR="3121356F" w:rsidP="3121356F" w:rsidRDefault="3121356F" w14:paraId="5ED0DE89" w14:textId="161B688F">
            <w:pPr>
              <w:spacing w:before="220" w:beforeAutospacing="off" w:after="0" w:afterAutospacing="off" w:line="257" w:lineRule="auto"/>
              <w:jc w:val="both"/>
            </w:pPr>
            <w:r w:rsidRPr="3121356F" w:rsidR="3121356F">
              <w:rPr>
                <w:rFonts w:ascii="Times New Roman" w:hAnsi="Times New Roman" w:eastAsia="Times New Roman" w:cs="Times New Roman"/>
                <w:b w:val="1"/>
                <w:bCs w:val="1"/>
                <w:color w:val="000000" w:themeColor="text1" w:themeTint="FF" w:themeShade="FF"/>
                <w:sz w:val="22"/>
                <w:szCs w:val="22"/>
              </w:rPr>
              <w:t xml:space="preserve"> </w:t>
            </w:r>
          </w:p>
          <w:p w:rsidR="3121356F" w:rsidP="3121356F" w:rsidRDefault="3121356F" w14:paraId="077F20F7" w14:textId="3CD3E00F">
            <w:pPr>
              <w:spacing w:before="220" w:beforeAutospacing="off" w:after="0" w:afterAutospacing="off" w:line="257" w:lineRule="auto"/>
              <w:jc w:val="both"/>
            </w:pPr>
            <w:r w:rsidRPr="3121356F" w:rsidR="3121356F">
              <w:rPr>
                <w:rFonts w:ascii="Times New Roman" w:hAnsi="Times New Roman" w:eastAsia="Times New Roman" w:cs="Times New Roman"/>
                <w:b w:val="1"/>
                <w:bCs w:val="1"/>
                <w:sz w:val="22"/>
                <w:szCs w:val="22"/>
              </w:rPr>
              <w:t xml:space="preserve">Bibliografie obligatorie: </w:t>
            </w:r>
          </w:p>
          <w:p w:rsidR="3121356F" w:rsidP="3121356F" w:rsidRDefault="3121356F" w14:paraId="4F11A34A" w14:textId="5BFC6C45">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Avram E. și Cooper C.-L. (coords.) (2008), </w:t>
            </w:r>
            <w:r w:rsidRPr="3121356F" w:rsidR="3121356F">
              <w:rPr>
                <w:rFonts w:ascii="Times New Roman" w:hAnsi="Times New Roman" w:eastAsia="Times New Roman" w:cs="Times New Roman"/>
                <w:i w:val="1"/>
                <w:iCs w:val="1"/>
                <w:sz w:val="22"/>
                <w:szCs w:val="22"/>
              </w:rPr>
              <w:t>Psihologie organizațional-managerială. Tendințe actuale</w:t>
            </w:r>
            <w:r w:rsidRPr="3121356F" w:rsidR="3121356F">
              <w:rPr>
                <w:rFonts w:ascii="Times New Roman" w:hAnsi="Times New Roman" w:eastAsia="Times New Roman" w:cs="Times New Roman"/>
                <w:sz w:val="22"/>
                <w:szCs w:val="22"/>
              </w:rPr>
              <w:t>, Ed. Polirom, pp. 871-900</w:t>
            </w:r>
          </w:p>
          <w:p w:rsidR="3121356F" w:rsidP="3121356F" w:rsidRDefault="3121356F" w14:paraId="6548CDE1" w14:textId="103B4BB0">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Bharwney, G. (2020) </w:t>
            </w:r>
            <w:r w:rsidRPr="3121356F" w:rsidR="3121356F">
              <w:rPr>
                <w:rFonts w:ascii="Times New Roman" w:hAnsi="Times New Roman" w:eastAsia="Times New Roman" w:cs="Times New Roman"/>
                <w:i w:val="1"/>
                <w:iCs w:val="1"/>
                <w:sz w:val="22"/>
                <w:szCs w:val="22"/>
              </w:rPr>
              <w:t xml:space="preserve">Reziliența emoțională. Învață cum să devii adaptabil și să-ți atingi potențialul maxim, </w:t>
            </w:r>
            <w:r w:rsidRPr="3121356F" w:rsidR="3121356F">
              <w:rPr>
                <w:rFonts w:ascii="Times New Roman" w:hAnsi="Times New Roman" w:eastAsia="Times New Roman" w:cs="Times New Roman"/>
                <w:i w:val="0"/>
                <w:iCs w:val="0"/>
                <w:sz w:val="22"/>
                <w:szCs w:val="22"/>
              </w:rPr>
              <w:t>Iași:Polirom</w:t>
            </w:r>
          </w:p>
          <w:p w:rsidR="3121356F" w:rsidP="3121356F" w:rsidRDefault="3121356F" w14:paraId="5049D701" w14:textId="1F8C1730">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Burduş, E.; Androniceanu, A.; Miles, M.; Căprărescu, Gh.(2000), </w:t>
            </w:r>
            <w:r w:rsidRPr="3121356F" w:rsidR="3121356F">
              <w:rPr>
                <w:rFonts w:ascii="Times New Roman" w:hAnsi="Times New Roman" w:eastAsia="Times New Roman" w:cs="Times New Roman"/>
                <w:i w:val="1"/>
                <w:iCs w:val="1"/>
                <w:sz w:val="22"/>
                <w:szCs w:val="22"/>
              </w:rPr>
              <w:t>Managementul schimbării organizaţionale</w:t>
            </w:r>
            <w:r w:rsidRPr="3121356F" w:rsidR="3121356F">
              <w:rPr>
                <w:rFonts w:ascii="Times New Roman" w:hAnsi="Times New Roman" w:eastAsia="Times New Roman" w:cs="Times New Roman"/>
                <w:sz w:val="22"/>
                <w:szCs w:val="22"/>
              </w:rPr>
              <w:t>, Ed. Economică, Bucureşti</w:t>
            </w:r>
          </w:p>
          <w:p w:rsidR="3121356F" w:rsidP="3121356F" w:rsidRDefault="3121356F" w14:paraId="539C1FCF" w14:textId="79618333">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Colwil, D.-A. (2021). </w:t>
            </w:r>
            <w:r w:rsidRPr="3121356F" w:rsidR="3121356F">
              <w:rPr>
                <w:rFonts w:ascii="Times New Roman" w:hAnsi="Times New Roman" w:eastAsia="Times New Roman" w:cs="Times New Roman"/>
                <w:i w:val="1"/>
                <w:iCs w:val="1"/>
                <w:sz w:val="22"/>
                <w:szCs w:val="22"/>
              </w:rPr>
              <w:t>Conflict, Power, and Organizational Change</w:t>
            </w:r>
            <w:r w:rsidRPr="3121356F" w:rsidR="3121356F">
              <w:rPr>
                <w:rFonts w:ascii="Times New Roman" w:hAnsi="Times New Roman" w:eastAsia="Times New Roman" w:cs="Times New Roman"/>
                <w:sz w:val="22"/>
                <w:szCs w:val="22"/>
              </w:rPr>
              <w:t>, Routledge</w:t>
            </w:r>
          </w:p>
          <w:p w:rsidR="3121356F" w:rsidP="3121356F" w:rsidRDefault="3121356F" w14:paraId="7CC89A26" w14:textId="51CE77F0">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David, D.-A. (2021). </w:t>
            </w:r>
            <w:r w:rsidRPr="3121356F" w:rsidR="3121356F">
              <w:rPr>
                <w:rFonts w:ascii="Times New Roman" w:hAnsi="Times New Roman" w:eastAsia="Times New Roman" w:cs="Times New Roman"/>
                <w:i w:val="1"/>
                <w:iCs w:val="1"/>
                <w:sz w:val="22"/>
                <w:szCs w:val="22"/>
              </w:rPr>
              <w:t xml:space="preserve">Organizational Justice and Organizational Change: Managing by Love. </w:t>
            </w:r>
            <w:r w:rsidRPr="3121356F" w:rsidR="3121356F">
              <w:rPr>
                <w:rFonts w:ascii="Times New Roman" w:hAnsi="Times New Roman" w:eastAsia="Times New Roman" w:cs="Times New Roman"/>
                <w:i w:val="0"/>
                <w:iCs w:val="0"/>
                <w:sz w:val="22"/>
                <w:szCs w:val="22"/>
              </w:rPr>
              <w:t>Routledge</w:t>
            </w:r>
          </w:p>
          <w:p w:rsidR="3121356F" w:rsidP="3121356F" w:rsidRDefault="3121356F" w14:paraId="1EB6375E" w14:textId="7A4E8858">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Kondalkar, V.-G. (2009), </w:t>
            </w:r>
            <w:r w:rsidRPr="3121356F" w:rsidR="3121356F">
              <w:rPr>
                <w:rFonts w:ascii="Times New Roman" w:hAnsi="Times New Roman" w:eastAsia="Times New Roman" w:cs="Times New Roman"/>
                <w:i w:val="1"/>
                <w:iCs w:val="1"/>
                <w:sz w:val="22"/>
                <w:szCs w:val="22"/>
              </w:rPr>
              <w:t>Organization Development</w:t>
            </w:r>
            <w:r w:rsidRPr="3121356F" w:rsidR="3121356F">
              <w:rPr>
                <w:rFonts w:ascii="Times New Roman" w:hAnsi="Times New Roman" w:eastAsia="Times New Roman" w:cs="Times New Roman"/>
                <w:sz w:val="22"/>
                <w:szCs w:val="22"/>
              </w:rPr>
              <w:t xml:space="preserve">, New Age International Pvt Ltd Publishers, </w:t>
            </w:r>
          </w:p>
          <w:p w:rsidR="3121356F" w:rsidP="3121356F" w:rsidRDefault="3121356F" w14:paraId="66F05614" w14:textId="08FC7713">
            <w:pPr>
              <w:spacing w:before="220" w:beforeAutospacing="off" w:after="0" w:afterAutospacing="off" w:line="257" w:lineRule="auto"/>
            </w:pPr>
            <w:r w:rsidRPr="3121356F" w:rsidR="3121356F">
              <w:rPr>
                <w:rFonts w:ascii="Times New Roman" w:hAnsi="Times New Roman" w:eastAsia="Times New Roman" w:cs="Times New Roman"/>
                <w:sz w:val="22"/>
                <w:szCs w:val="22"/>
              </w:rPr>
              <w:t>Tims</w:t>
            </w:r>
            <w:r w:rsidRPr="3121356F" w:rsidR="3121356F">
              <w:rPr>
                <w:rFonts w:ascii="Times New Roman" w:hAnsi="Times New Roman" w:eastAsia="Times New Roman" w:cs="Times New Roman"/>
                <w:sz w:val="22"/>
                <w:szCs w:val="22"/>
              </w:rPr>
              <w:t xml:space="preserve">, P. (2018), </w:t>
            </w:r>
            <w:r w:rsidRPr="3121356F" w:rsidR="3121356F">
              <w:rPr>
                <w:rFonts w:ascii="Times New Roman" w:hAnsi="Times New Roman" w:eastAsia="Times New Roman" w:cs="Times New Roman"/>
                <w:i w:val="1"/>
                <w:iCs w:val="1"/>
                <w:sz w:val="22"/>
                <w:szCs w:val="22"/>
              </w:rPr>
              <w:t>Transformational</w:t>
            </w:r>
            <w:r w:rsidRPr="3121356F" w:rsidR="3121356F">
              <w:rPr>
                <w:rFonts w:ascii="Times New Roman" w:hAnsi="Times New Roman" w:eastAsia="Times New Roman" w:cs="Times New Roman"/>
                <w:i w:val="1"/>
                <w:iCs w:val="1"/>
                <w:sz w:val="22"/>
                <w:szCs w:val="22"/>
              </w:rPr>
              <w:t xml:space="preserve"> HR: Pasionat de oameni sau pasionat de business?. </w:t>
            </w:r>
            <w:r w:rsidRPr="3121356F" w:rsidR="3121356F">
              <w:rPr>
                <w:rFonts w:ascii="Times New Roman" w:hAnsi="Times New Roman" w:eastAsia="Times New Roman" w:cs="Times New Roman"/>
                <w:i w:val="0"/>
                <w:iCs w:val="0"/>
                <w:sz w:val="22"/>
                <w:szCs w:val="22"/>
              </w:rPr>
              <w:t>CIPD, Noosfera</w:t>
            </w:r>
          </w:p>
          <w:p w:rsidR="3121356F" w:rsidP="3121356F" w:rsidRDefault="3121356F" w14:paraId="39210F25" w14:textId="77C738A9">
            <w:pPr>
              <w:spacing w:before="220" w:beforeAutospacing="off" w:after="0" w:afterAutospacing="off" w:line="257" w:lineRule="auto"/>
              <w:rPr>
                <w:rFonts w:ascii="Times New Roman" w:hAnsi="Times New Roman" w:eastAsia="Times New Roman" w:cs="Times New Roman"/>
                <w:i w:val="0"/>
                <w:iCs w:val="0"/>
                <w:sz w:val="22"/>
                <w:szCs w:val="22"/>
              </w:rPr>
            </w:pPr>
          </w:p>
          <w:p w:rsidR="3121356F" w:rsidP="3121356F" w:rsidRDefault="3121356F" w14:paraId="0B42ED5A" w14:textId="3EC73FC8">
            <w:pPr>
              <w:spacing w:before="220" w:beforeAutospacing="off" w:after="0" w:afterAutospacing="off" w:line="257" w:lineRule="auto"/>
              <w:jc w:val="both"/>
              <w:rPr>
                <w:rFonts w:ascii="Times New Roman" w:hAnsi="Times New Roman" w:eastAsia="Times New Roman" w:cs="Times New Roman"/>
                <w:b w:val="1"/>
                <w:bCs w:val="1"/>
                <w:sz w:val="22"/>
                <w:szCs w:val="22"/>
              </w:rPr>
            </w:pPr>
            <w:r w:rsidRPr="3121356F" w:rsidR="3121356F">
              <w:rPr>
                <w:rFonts w:ascii="Times New Roman" w:hAnsi="Times New Roman" w:eastAsia="Times New Roman" w:cs="Times New Roman"/>
                <w:b w:val="1"/>
                <w:bCs w:val="1"/>
                <w:sz w:val="22"/>
                <w:szCs w:val="22"/>
              </w:rPr>
              <w:t xml:space="preserve">Bibliografie </w:t>
            </w:r>
            <w:r w:rsidRPr="3121356F" w:rsidR="3121356F">
              <w:rPr>
                <w:rFonts w:ascii="Times New Roman" w:hAnsi="Times New Roman" w:eastAsia="Times New Roman" w:cs="Times New Roman"/>
                <w:b w:val="1"/>
                <w:bCs w:val="1"/>
                <w:sz w:val="22"/>
                <w:szCs w:val="22"/>
              </w:rPr>
              <w:t>opţională</w:t>
            </w:r>
          </w:p>
          <w:p w:rsidR="3121356F" w:rsidP="3121356F" w:rsidRDefault="3121356F" w14:paraId="58E15B1B" w14:textId="4E0410BA">
            <w:pPr>
              <w:spacing w:before="220" w:beforeAutospacing="off" w:after="0" w:afterAutospacing="off" w:line="257" w:lineRule="auto"/>
            </w:pPr>
            <w:r w:rsidRPr="3121356F" w:rsidR="3121356F">
              <w:rPr>
                <w:rFonts w:ascii="Times New Roman" w:hAnsi="Times New Roman" w:eastAsia="Times New Roman" w:cs="Times New Roman"/>
                <w:b w:val="1"/>
                <w:bCs w:val="1"/>
                <w:sz w:val="22"/>
                <w:szCs w:val="22"/>
              </w:rPr>
              <w:t>Texte în limba română</w:t>
            </w:r>
          </w:p>
          <w:p w:rsidR="3121356F" w:rsidP="3121356F" w:rsidRDefault="3121356F" w14:paraId="7EA94555" w14:textId="29867958">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Cole, G.-A., </w:t>
            </w:r>
            <w:r w:rsidRPr="3121356F" w:rsidR="3121356F">
              <w:rPr>
                <w:rFonts w:ascii="Times New Roman" w:hAnsi="Times New Roman" w:eastAsia="Times New Roman" w:cs="Times New Roman"/>
                <w:i w:val="1"/>
                <w:iCs w:val="1"/>
                <w:sz w:val="22"/>
                <w:szCs w:val="22"/>
              </w:rPr>
              <w:t>Managementul personalulu</w:t>
            </w:r>
            <w:r w:rsidRPr="3121356F" w:rsidR="3121356F">
              <w:rPr>
                <w:rFonts w:ascii="Times New Roman" w:hAnsi="Times New Roman" w:eastAsia="Times New Roman" w:cs="Times New Roman"/>
                <w:sz w:val="22"/>
                <w:szCs w:val="22"/>
              </w:rPr>
              <w:t>i, Ed. Codec, București, 2000</w:t>
            </w:r>
          </w:p>
          <w:p w:rsidR="3121356F" w:rsidP="3121356F" w:rsidRDefault="3121356F" w14:paraId="19492E91" w14:textId="4A4F89F8">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Hoffman, Oscar, </w:t>
            </w:r>
            <w:r w:rsidRPr="3121356F" w:rsidR="3121356F">
              <w:rPr>
                <w:rFonts w:ascii="Times New Roman" w:hAnsi="Times New Roman" w:eastAsia="Times New Roman" w:cs="Times New Roman"/>
                <w:i w:val="1"/>
                <w:iCs w:val="1"/>
                <w:sz w:val="22"/>
                <w:szCs w:val="22"/>
              </w:rPr>
              <w:t>Sociologia organizațiilor</w:t>
            </w:r>
            <w:r w:rsidRPr="3121356F" w:rsidR="3121356F">
              <w:rPr>
                <w:rFonts w:ascii="Times New Roman" w:hAnsi="Times New Roman" w:eastAsia="Times New Roman" w:cs="Times New Roman"/>
                <w:sz w:val="22"/>
                <w:szCs w:val="22"/>
              </w:rPr>
              <w:t>, Ed. Economică, 2004</w:t>
            </w:r>
          </w:p>
          <w:p w:rsidR="3121356F" w:rsidP="3121356F" w:rsidRDefault="3121356F" w14:paraId="6B206044" w14:textId="17165DAB">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Johns, Gary, </w:t>
            </w:r>
            <w:r w:rsidRPr="3121356F" w:rsidR="3121356F">
              <w:rPr>
                <w:rFonts w:ascii="Times New Roman" w:hAnsi="Times New Roman" w:eastAsia="Times New Roman" w:cs="Times New Roman"/>
                <w:i w:val="1"/>
                <w:iCs w:val="1"/>
                <w:sz w:val="22"/>
                <w:szCs w:val="22"/>
              </w:rPr>
              <w:t>Comportament organizațional</w:t>
            </w:r>
            <w:r w:rsidRPr="3121356F" w:rsidR="3121356F">
              <w:rPr>
                <w:rFonts w:ascii="Times New Roman" w:hAnsi="Times New Roman" w:eastAsia="Times New Roman" w:cs="Times New Roman"/>
                <w:sz w:val="22"/>
                <w:szCs w:val="22"/>
              </w:rPr>
              <w:t>, București, Ed. Economică, 1998</w:t>
            </w:r>
          </w:p>
          <w:p w:rsidR="3121356F" w:rsidP="3121356F" w:rsidRDefault="3121356F" w14:paraId="74A2F046" w14:textId="02750892">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Makin, P., Cox, C (2006). </w:t>
            </w:r>
            <w:r w:rsidRPr="3121356F" w:rsidR="3121356F">
              <w:rPr>
                <w:rFonts w:ascii="Times New Roman" w:hAnsi="Times New Roman" w:eastAsia="Times New Roman" w:cs="Times New Roman"/>
                <w:i w:val="1"/>
                <w:iCs w:val="1"/>
                <w:sz w:val="22"/>
                <w:szCs w:val="22"/>
              </w:rPr>
              <w:t>Schimbarea în organizații. Optimizarea comportamentului angajaților</w:t>
            </w:r>
            <w:r w:rsidRPr="3121356F" w:rsidR="3121356F">
              <w:rPr>
                <w:rFonts w:ascii="Times New Roman" w:hAnsi="Times New Roman" w:eastAsia="Times New Roman" w:cs="Times New Roman"/>
                <w:sz w:val="22"/>
                <w:szCs w:val="22"/>
              </w:rPr>
              <w:t>, Iași: Polirom</w:t>
            </w:r>
          </w:p>
          <w:p w:rsidR="3121356F" w:rsidP="3121356F" w:rsidRDefault="3121356F" w14:paraId="6AA27F90" w14:textId="571E2E28">
            <w:pPr>
              <w:spacing w:before="220" w:beforeAutospacing="off" w:after="0" w:afterAutospacing="off" w:line="257" w:lineRule="auto"/>
            </w:pPr>
            <w:r w:rsidRPr="3121356F" w:rsidR="3121356F">
              <w:rPr>
                <w:rFonts w:ascii="Times New Roman" w:hAnsi="Times New Roman" w:eastAsia="Times New Roman" w:cs="Times New Roman"/>
                <w:sz w:val="22"/>
                <w:szCs w:val="22"/>
              </w:rPr>
              <w:t>Zlate, Mielu,</w:t>
            </w:r>
            <w:r w:rsidRPr="3121356F" w:rsidR="3121356F">
              <w:rPr>
                <w:rFonts w:ascii="Times New Roman" w:hAnsi="Times New Roman" w:eastAsia="Times New Roman" w:cs="Times New Roman"/>
                <w:i w:val="1"/>
                <w:iCs w:val="1"/>
                <w:sz w:val="22"/>
                <w:szCs w:val="22"/>
              </w:rPr>
              <w:t xml:space="preserve"> Tratat de psihologie organizațional-managerială</w:t>
            </w:r>
            <w:r w:rsidRPr="3121356F" w:rsidR="3121356F">
              <w:rPr>
                <w:rFonts w:ascii="Times New Roman" w:hAnsi="Times New Roman" w:eastAsia="Times New Roman" w:cs="Times New Roman"/>
                <w:sz w:val="22"/>
                <w:szCs w:val="22"/>
              </w:rPr>
              <w:t>, Ed. Polirom, 2007</w:t>
            </w:r>
          </w:p>
          <w:p w:rsidR="3121356F" w:rsidP="3121356F" w:rsidRDefault="3121356F" w14:paraId="7FD10F2A" w14:textId="28B6607F">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 </w:t>
            </w:r>
          </w:p>
          <w:p w:rsidR="3121356F" w:rsidP="3121356F" w:rsidRDefault="3121356F" w14:paraId="617FA7AE" w14:textId="57DA01F0">
            <w:pPr>
              <w:spacing w:before="220" w:beforeAutospacing="off" w:after="0" w:afterAutospacing="off" w:line="257" w:lineRule="auto"/>
            </w:pPr>
            <w:r w:rsidRPr="3121356F" w:rsidR="3121356F">
              <w:rPr>
                <w:rFonts w:ascii="Times New Roman" w:hAnsi="Times New Roman" w:eastAsia="Times New Roman" w:cs="Times New Roman"/>
                <w:b w:val="1"/>
                <w:bCs w:val="1"/>
                <w:sz w:val="22"/>
                <w:szCs w:val="22"/>
              </w:rPr>
              <w:t>Texte în limba engleză</w:t>
            </w:r>
          </w:p>
          <w:p w:rsidR="3121356F" w:rsidP="3121356F" w:rsidRDefault="3121356F" w14:paraId="65035460" w14:textId="24917318">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McLean, G.-N., </w:t>
            </w:r>
            <w:r w:rsidRPr="3121356F" w:rsidR="3121356F">
              <w:rPr>
                <w:rFonts w:ascii="Times New Roman" w:hAnsi="Times New Roman" w:eastAsia="Times New Roman" w:cs="Times New Roman"/>
                <w:i w:val="1"/>
                <w:iCs w:val="1"/>
                <w:sz w:val="22"/>
                <w:szCs w:val="22"/>
              </w:rPr>
              <w:t>Organization Development. Principles, Processes, Performance</w:t>
            </w:r>
            <w:r w:rsidRPr="3121356F" w:rsidR="3121356F">
              <w:rPr>
                <w:rFonts w:ascii="Times New Roman" w:hAnsi="Times New Roman" w:eastAsia="Times New Roman" w:cs="Times New Roman"/>
                <w:sz w:val="22"/>
                <w:szCs w:val="22"/>
              </w:rPr>
              <w:t>, Berrett-Koehler Publishers, Inc., San Francisco, 2006</w:t>
            </w:r>
          </w:p>
          <w:p w:rsidR="3121356F" w:rsidP="3121356F" w:rsidRDefault="3121356F" w14:paraId="32AA1C94" w14:textId="04E29AB5">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Anderson, D.; Ackerman A.- L., </w:t>
            </w:r>
            <w:r w:rsidRPr="3121356F" w:rsidR="3121356F">
              <w:rPr>
                <w:rFonts w:ascii="Times New Roman" w:hAnsi="Times New Roman" w:eastAsia="Times New Roman" w:cs="Times New Roman"/>
                <w:i w:val="1"/>
                <w:iCs w:val="1"/>
                <w:sz w:val="22"/>
                <w:szCs w:val="22"/>
              </w:rPr>
              <w:t xml:space="preserve">Beyond Change </w:t>
            </w:r>
            <w:r w:rsidRPr="3121356F" w:rsidR="3121356F">
              <w:rPr>
                <w:rFonts w:ascii="Times New Roman" w:hAnsi="Times New Roman" w:eastAsia="Times New Roman" w:cs="Times New Roman"/>
                <w:sz w:val="22"/>
                <w:szCs w:val="22"/>
              </w:rPr>
              <w:t>Management, Jossey-Bass, San Francisco, 2001</w:t>
            </w:r>
          </w:p>
          <w:p w:rsidR="3121356F" w:rsidP="3121356F" w:rsidRDefault="3121356F" w14:paraId="50E83E1C" w14:textId="30536822">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Bierly, P.E., Kessler, E.H., Christensen E.W., “Organizational Learning, Knowledge and Wisdom”,  </w:t>
            </w:r>
            <w:r w:rsidRPr="3121356F" w:rsidR="3121356F">
              <w:rPr>
                <w:rFonts w:ascii="Times New Roman" w:hAnsi="Times New Roman" w:eastAsia="Times New Roman" w:cs="Times New Roman"/>
                <w:i w:val="1"/>
                <w:iCs w:val="1"/>
                <w:sz w:val="22"/>
                <w:szCs w:val="22"/>
              </w:rPr>
              <w:t>Journal of Organizational Change Management</w:t>
            </w:r>
            <w:r w:rsidRPr="3121356F" w:rsidR="3121356F">
              <w:rPr>
                <w:rFonts w:ascii="Times New Roman" w:hAnsi="Times New Roman" w:eastAsia="Times New Roman" w:cs="Times New Roman"/>
                <w:sz w:val="22"/>
                <w:szCs w:val="22"/>
              </w:rPr>
              <w:t>, 2000, vol. 13, nr. 6, pp. 595-618</w:t>
            </w:r>
          </w:p>
          <w:p w:rsidR="3121356F" w:rsidP="3121356F" w:rsidRDefault="3121356F" w14:paraId="4C1497C9" w14:textId="72046053">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Carnall, Colin, </w:t>
            </w:r>
            <w:r w:rsidRPr="3121356F" w:rsidR="3121356F">
              <w:rPr>
                <w:rFonts w:ascii="Times New Roman" w:hAnsi="Times New Roman" w:eastAsia="Times New Roman" w:cs="Times New Roman"/>
                <w:i w:val="1"/>
                <w:iCs w:val="1"/>
                <w:sz w:val="22"/>
                <w:szCs w:val="22"/>
              </w:rPr>
              <w:t>Managing Change in Organizations</w:t>
            </w:r>
            <w:r w:rsidRPr="3121356F" w:rsidR="3121356F">
              <w:rPr>
                <w:rFonts w:ascii="Times New Roman" w:hAnsi="Times New Roman" w:eastAsia="Times New Roman" w:cs="Times New Roman"/>
                <w:sz w:val="22"/>
                <w:szCs w:val="22"/>
              </w:rPr>
              <w:t>, fifth edition, Prentice Hall, 2007</w:t>
            </w:r>
          </w:p>
          <w:p w:rsidR="3121356F" w:rsidP="3121356F" w:rsidRDefault="3121356F" w14:paraId="594D2A90" w14:textId="5B2E10FA">
            <w:pPr>
              <w:spacing w:before="220" w:beforeAutospacing="off" w:after="0" w:afterAutospacing="off" w:line="257" w:lineRule="auto"/>
            </w:pPr>
            <w:r w:rsidRPr="3121356F" w:rsidR="3121356F">
              <w:rPr>
                <w:rFonts w:ascii="Times New Roman" w:hAnsi="Times New Roman" w:eastAsia="Times New Roman" w:cs="Times New Roman"/>
                <w:sz w:val="22"/>
                <w:szCs w:val="22"/>
              </w:rPr>
              <w:t xml:space="preserve">Dievernich, F.-E., Tokarski, K.-O., Gong, J. (eds.), </w:t>
            </w:r>
            <w:r w:rsidRPr="3121356F" w:rsidR="3121356F">
              <w:rPr>
                <w:rFonts w:ascii="Times New Roman" w:hAnsi="Times New Roman" w:eastAsia="Times New Roman" w:cs="Times New Roman"/>
                <w:i w:val="1"/>
                <w:iCs w:val="1"/>
                <w:sz w:val="22"/>
                <w:szCs w:val="22"/>
              </w:rPr>
              <w:t>Change Management and the Human Factor. Advances, Challenges and Contradictions in Organizational Development</w:t>
            </w:r>
            <w:r w:rsidRPr="3121356F" w:rsidR="3121356F">
              <w:rPr>
                <w:rFonts w:ascii="Times New Roman" w:hAnsi="Times New Roman" w:eastAsia="Times New Roman" w:cs="Times New Roman"/>
                <w:sz w:val="22"/>
                <w:szCs w:val="22"/>
              </w:rPr>
              <w:t>, Springer, 2015</w:t>
            </w:r>
          </w:p>
          <w:p w:rsidR="3121356F" w:rsidP="3121356F" w:rsidRDefault="3121356F" w14:paraId="081D0743" w14:textId="7235F59D">
            <w:pPr>
              <w:spacing w:before="220" w:beforeAutospacing="off" w:after="0" w:afterAutospacing="off" w:line="257" w:lineRule="auto"/>
              <w:jc w:val="both"/>
            </w:pPr>
            <w:r w:rsidRPr="3121356F" w:rsidR="3121356F">
              <w:rPr>
                <w:rFonts w:ascii="Times New Roman" w:hAnsi="Times New Roman" w:eastAsia="Times New Roman" w:cs="Times New Roman"/>
                <w:b w:val="1"/>
                <w:bCs w:val="1"/>
                <w:sz w:val="22"/>
                <w:szCs w:val="22"/>
              </w:rPr>
              <w:t xml:space="preserve"> </w:t>
            </w:r>
          </w:p>
          <w:p w:rsidR="3121356F" w:rsidP="3121356F" w:rsidRDefault="3121356F" w14:paraId="226A735A" w14:textId="1FEBCF54">
            <w:pPr>
              <w:spacing w:before="220" w:beforeAutospacing="off" w:after="160" w:afterAutospacing="off" w:line="257" w:lineRule="auto"/>
            </w:pPr>
            <w:r w:rsidRPr="3121356F" w:rsidR="3121356F">
              <w:rPr>
                <w:rFonts w:ascii="Times New Roman" w:hAnsi="Times New Roman" w:eastAsia="Times New Roman" w:cs="Times New Roman"/>
                <w:b w:val="1"/>
                <w:bCs w:val="1"/>
                <w:color w:val="000000" w:themeColor="text1" w:themeTint="FF" w:themeShade="FF"/>
                <w:sz w:val="22"/>
                <w:szCs w:val="22"/>
              </w:rPr>
              <w:t>Resurse web</w:t>
            </w:r>
          </w:p>
          <w:p w:rsidR="3121356F" w:rsidP="3121356F" w:rsidRDefault="3121356F" w14:paraId="4EFA2067" w14:textId="1616B112">
            <w:pPr>
              <w:spacing w:before="220" w:beforeAutospacing="off" w:after="160" w:afterAutospacing="off" w:line="257" w:lineRule="auto"/>
            </w:pPr>
            <w:hyperlink r:id="R070a30a6988a4825">
              <w:r w:rsidRPr="3121356F" w:rsidR="3121356F">
                <w:rPr>
                  <w:rStyle w:val="Hyperlink"/>
                  <w:rFonts w:ascii="Times New Roman" w:hAnsi="Times New Roman" w:eastAsia="Times New Roman" w:cs="Times New Roman"/>
                  <w:color w:val="000000" w:themeColor="text1" w:themeTint="FF" w:themeShade="FF"/>
                  <w:sz w:val="22"/>
                  <w:szCs w:val="22"/>
                </w:rPr>
                <w:t>https://www.odnetwork.org/</w:t>
              </w:r>
            </w:hyperlink>
          </w:p>
          <w:p w:rsidR="3121356F" w:rsidP="3121356F" w:rsidRDefault="3121356F" w14:paraId="62AA7EFA" w14:textId="729B1B67">
            <w:pPr>
              <w:spacing w:before="220" w:beforeAutospacing="off" w:after="160" w:afterAutospacing="off" w:line="257" w:lineRule="auto"/>
            </w:pPr>
            <w:hyperlink r:id="R8844217d513c454b">
              <w:r w:rsidRPr="3121356F" w:rsidR="3121356F">
                <w:rPr>
                  <w:rStyle w:val="Hyperlink"/>
                  <w:rFonts w:ascii="Times New Roman" w:hAnsi="Times New Roman" w:eastAsia="Times New Roman" w:cs="Times New Roman"/>
                  <w:color w:val="000000" w:themeColor="text1" w:themeTint="FF" w:themeShade="FF"/>
                  <w:sz w:val="22"/>
                  <w:szCs w:val="22"/>
                </w:rPr>
                <w:t>https://instituteod.com/what-is-organization-development-od-and-how-does-it-differ-from-other-change-management-models/</w:t>
              </w:r>
            </w:hyperlink>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3121356F" w14:paraId="697653B0" w14:textId="77777777">
        <w:trPr>
          <w:trHeight w:val="2869"/>
        </w:trPr>
        <w:tc>
          <w:tcPr>
            <w:tcW w:w="10491" w:type="dxa"/>
            <w:tcMar/>
          </w:tcPr>
          <w:p w:rsidRPr="002E4459" w:rsidR="0084568F" w:rsidP="00827CA3" w:rsidRDefault="0084568F" w14:paraId="2B940AFD" w14:textId="117F5C22">
            <w:pPr>
              <w:pStyle w:val="Listparagraf"/>
              <w:numPr>
                <w:ilvl w:val="0"/>
                <w:numId w:val="4"/>
              </w:numPr>
              <w:spacing w:before="120" w:after="0" w:line="240" w:lineRule="auto"/>
              <w:ind w:left="714" w:hanging="357"/>
              <w:rPr>
                <w:rFonts w:ascii="Cambria" w:hAnsi="Cambria"/>
                <w:sz w:val="20"/>
                <w:szCs w:val="20"/>
              </w:rPr>
            </w:pPr>
            <w:r w:rsidRPr="3121356F" w:rsidR="43DB188B">
              <w:rPr>
                <w:rFonts w:ascii="Times New Roman" w:hAnsi="Times New Roman" w:eastAsia="Times New Roman" w:cs="Times New Roman"/>
                <w:noProof w:val="0"/>
                <w:sz w:val="22"/>
                <w:szCs w:val="22"/>
                <w:lang w:val="ro-RO"/>
              </w:rPr>
              <w:t xml:space="preserve">Cursul pregătește studenții pentru realizarea diagnozei organizaționale și oferirea unor soluții de </w:t>
            </w:r>
            <w:r w:rsidRPr="3121356F" w:rsidR="43DB188B">
              <w:rPr>
                <w:rFonts w:ascii="Times New Roman" w:hAnsi="Times New Roman" w:eastAsia="Times New Roman" w:cs="Times New Roman"/>
                <w:noProof w:val="0"/>
                <w:sz w:val="22"/>
                <w:szCs w:val="22"/>
                <w:lang w:val="ro-RO"/>
              </w:rPr>
              <w:t>de</w:t>
            </w:r>
            <w:r w:rsidRPr="3121356F" w:rsidR="43DB188B">
              <w:rPr>
                <w:rFonts w:ascii="Times New Roman" w:hAnsi="Times New Roman" w:eastAsia="Times New Roman" w:cs="Times New Roman"/>
                <w:noProof w:val="0"/>
                <w:sz w:val="22"/>
                <w:szCs w:val="22"/>
                <w:lang w:val="ro-RO"/>
              </w:rPr>
              <w:t xml:space="preserve"> dezvoltare organizațională și management al schimbării. De asemenea, prin competențele transversale dezvoltate, contribuie la crearea unor climate organizaționale și, în general, a unei comunități mai deschise la schimbare și inovare.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3121356F"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3121356F" w14:paraId="3DDA6B4F" w14:textId="77777777">
        <w:trPr>
          <w:trHeight w:val="1980"/>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3121356F" w:rsidP="3121356F" w:rsidRDefault="3121356F" w14:paraId="29067725" w14:textId="24DBD354">
            <w:pPr>
              <w:pStyle w:val="Listparagraf"/>
              <w:spacing w:before="0" w:beforeAutospacing="off" w:after="0" w:afterAutospacing="off" w:line="257" w:lineRule="auto"/>
              <w:ind w:left="-22" w:right="0" w:hanging="0"/>
              <w:rPr>
                <w:rFonts w:ascii="Times New Roman" w:hAnsi="Times New Roman" w:eastAsia="Times New Roman" w:cs="Times New Roman"/>
                <w:sz w:val="22"/>
                <w:szCs w:val="22"/>
              </w:rPr>
            </w:pPr>
            <w:r w:rsidRPr="3121356F" w:rsidR="3121356F">
              <w:rPr>
                <w:rFonts w:ascii="Times New Roman" w:hAnsi="Times New Roman" w:eastAsia="Times New Roman" w:cs="Times New Roman"/>
                <w:sz w:val="22"/>
                <w:szCs w:val="22"/>
              </w:rPr>
              <w:t>Demonstrarea însușirii conceptelor de bază aferente tematicilor de curs și a capacității de operare cognitivă și practică cu acestea.</w:t>
            </w:r>
          </w:p>
          <w:p w:rsidR="3121356F" w:rsidP="3121356F" w:rsidRDefault="3121356F" w14:paraId="1BD5957D" w14:textId="5915B55B">
            <w:pPr>
              <w:spacing w:before="220" w:beforeAutospacing="off" w:after="0" w:afterAutospacing="off" w:line="257" w:lineRule="auto"/>
              <w:ind w:left="-22" w:right="0"/>
            </w:pPr>
            <w:r w:rsidRPr="3121356F" w:rsidR="3121356F">
              <w:rPr>
                <w:rFonts w:ascii="Times New Roman" w:hAnsi="Times New Roman" w:eastAsia="Times New Roman" w:cs="Times New Roman"/>
                <w:sz w:val="22"/>
                <w:szCs w:val="22"/>
              </w:rPr>
              <w:t xml:space="preserve"> </w:t>
            </w:r>
          </w:p>
          <w:p w:rsidR="3121356F" w:rsidP="3121356F" w:rsidRDefault="3121356F" w14:paraId="77EB7CB1" w14:textId="47212F0F">
            <w:pPr>
              <w:spacing w:before="220" w:beforeAutospacing="off" w:after="0" w:afterAutospacing="off" w:line="257" w:lineRule="auto"/>
              <w:ind w:left="-22" w:right="0"/>
              <w:rPr>
                <w:rFonts w:ascii="Times New Roman" w:hAnsi="Times New Roman" w:eastAsia="Times New Roman" w:cs="Times New Roman"/>
                <w:color w:val="000000" w:themeColor="text1" w:themeTint="FF" w:themeShade="FF"/>
                <w:sz w:val="22"/>
                <w:szCs w:val="22"/>
              </w:rPr>
            </w:pPr>
            <w:r w:rsidRPr="3121356F" w:rsidR="3121356F">
              <w:rPr>
                <w:rFonts w:ascii="Times New Roman" w:hAnsi="Times New Roman" w:eastAsia="Times New Roman" w:cs="Times New Roman"/>
                <w:sz w:val="22"/>
                <w:szCs w:val="22"/>
              </w:rPr>
              <w:t xml:space="preserve"> </w:t>
            </w:r>
          </w:p>
          <w:p w:rsidR="3121356F" w:rsidP="3121356F" w:rsidRDefault="3121356F" w14:paraId="65893E36" w14:textId="028DC6E0">
            <w:pPr>
              <w:spacing w:before="220" w:beforeAutospacing="off" w:after="0" w:afterAutospacing="off" w:line="257" w:lineRule="auto"/>
              <w:ind w:left="-22" w:right="0"/>
            </w:pPr>
            <w:r w:rsidRPr="3121356F" w:rsidR="3121356F">
              <w:rPr>
                <w:rFonts w:ascii="Times New Roman" w:hAnsi="Times New Roman" w:eastAsia="Times New Roman" w:cs="Times New Roman"/>
                <w:sz w:val="22"/>
                <w:szCs w:val="22"/>
              </w:rPr>
              <w:t xml:space="preserve"> </w:t>
            </w:r>
          </w:p>
          <w:p w:rsidR="3121356F" w:rsidP="3121356F" w:rsidRDefault="3121356F" w14:paraId="66984909" w14:textId="41D70863">
            <w:pPr>
              <w:tabs>
                <w:tab w:val="left" w:leader="none" w:pos="0"/>
              </w:tabs>
              <w:spacing w:before="220" w:beforeAutospacing="off" w:after="0" w:afterAutospacing="off" w:line="257" w:lineRule="auto"/>
            </w:pPr>
            <w:r w:rsidRPr="3121356F" w:rsidR="3121356F">
              <w:rPr>
                <w:rFonts w:ascii="Times New Roman" w:hAnsi="Times New Roman" w:eastAsia="Times New Roman" w:cs="Times New Roman"/>
                <w:color w:val="000000" w:themeColor="text1" w:themeTint="FF" w:themeShade="FF"/>
                <w:sz w:val="22"/>
                <w:szCs w:val="22"/>
              </w:rPr>
              <w:t xml:space="preserve"> </w:t>
            </w:r>
          </w:p>
        </w:tc>
        <w:tc>
          <w:tcPr>
            <w:tcW w:w="2409" w:type="dxa"/>
            <w:tcMar/>
            <w:vAlign w:val="center"/>
          </w:tcPr>
          <w:p w:rsidR="3121356F" w:rsidP="3121356F" w:rsidRDefault="3121356F" w14:paraId="06D12044" w14:textId="5E244A3D">
            <w:pPr>
              <w:pStyle w:val="Normal"/>
              <w:spacing w:before="0" w:beforeAutospacing="off" w:after="0" w:afterAutospacing="off" w:line="257" w:lineRule="auto"/>
              <w:ind w:left="0" w:right="0"/>
              <w:rPr>
                <w:rFonts w:ascii="Times New Roman" w:hAnsi="Times New Roman" w:eastAsia="Times New Roman" w:cs="Times New Roman"/>
                <w:sz w:val="24"/>
                <w:szCs w:val="24"/>
              </w:rPr>
            </w:pPr>
            <w:r w:rsidRPr="3121356F" w:rsidR="3121356F">
              <w:rPr>
                <w:rFonts w:ascii="Times New Roman" w:hAnsi="Times New Roman" w:eastAsia="Times New Roman" w:cs="Times New Roman"/>
                <w:sz w:val="22"/>
                <w:szCs w:val="22"/>
              </w:rPr>
              <w:t>Examen tip grilă</w:t>
            </w:r>
          </w:p>
          <w:p w:rsidR="3121356F" w:rsidP="3121356F" w:rsidRDefault="3121356F" w14:paraId="20661201" w14:textId="7EA0DF83">
            <w:pPr>
              <w:pStyle w:val="Listparagraf"/>
              <w:spacing w:before="0" w:beforeAutospacing="off" w:after="0" w:afterAutospacing="off" w:line="257" w:lineRule="auto"/>
              <w:ind w:left="720" w:right="0"/>
              <w:rPr>
                <w:rFonts w:ascii="Times New Roman" w:hAnsi="Times New Roman" w:eastAsia="Times New Roman" w:cs="Times New Roman"/>
                <w:sz w:val="22"/>
                <w:szCs w:val="22"/>
              </w:rPr>
            </w:pPr>
          </w:p>
          <w:p w:rsidR="3121356F" w:rsidP="3121356F" w:rsidRDefault="3121356F" w14:paraId="67CCC6F9" w14:textId="6271D23A">
            <w:pPr>
              <w:pStyle w:val="Normal"/>
              <w:spacing w:before="0" w:beforeAutospacing="off" w:after="0" w:afterAutospacing="off" w:line="257" w:lineRule="auto"/>
              <w:ind w:left="0" w:right="0"/>
              <w:rPr>
                <w:rFonts w:ascii="Times New Roman" w:hAnsi="Times New Roman" w:eastAsia="Times New Roman" w:cs="Times New Roman"/>
                <w:sz w:val="22"/>
                <w:szCs w:val="22"/>
              </w:rPr>
            </w:pPr>
          </w:p>
          <w:p w:rsidR="3121356F" w:rsidP="3121356F" w:rsidRDefault="3121356F" w14:paraId="3D1C2900" w14:textId="736D81D7">
            <w:pPr>
              <w:pStyle w:val="Normal"/>
              <w:spacing w:before="0" w:beforeAutospacing="off" w:after="0" w:afterAutospacing="off" w:line="257" w:lineRule="auto"/>
              <w:ind w:left="0" w:right="0"/>
              <w:rPr>
                <w:rFonts w:ascii="Times New Roman" w:hAnsi="Times New Roman" w:eastAsia="Times New Roman" w:cs="Times New Roman"/>
                <w:sz w:val="22"/>
                <w:szCs w:val="22"/>
              </w:rPr>
            </w:pPr>
          </w:p>
          <w:p w:rsidR="3121356F" w:rsidP="3121356F" w:rsidRDefault="3121356F" w14:paraId="3ABA8EDA" w14:textId="5D7FB2D3">
            <w:pPr>
              <w:pStyle w:val="Normal"/>
              <w:spacing w:before="0" w:beforeAutospacing="off" w:after="0" w:afterAutospacing="off" w:line="257" w:lineRule="auto"/>
              <w:ind w:left="0" w:right="0"/>
              <w:rPr>
                <w:rFonts w:ascii="Times New Roman" w:hAnsi="Times New Roman" w:eastAsia="Times New Roman" w:cs="Times New Roman"/>
                <w:sz w:val="22"/>
                <w:szCs w:val="22"/>
              </w:rPr>
            </w:pPr>
          </w:p>
        </w:tc>
        <w:tc>
          <w:tcPr>
            <w:tcW w:w="2694" w:type="dxa"/>
            <w:tcMar/>
            <w:vAlign w:val="center"/>
          </w:tcPr>
          <w:p w:rsidR="3121356F" w:rsidP="3121356F" w:rsidRDefault="3121356F" w14:paraId="430ED777" w14:textId="6E05DFC2">
            <w:pPr>
              <w:spacing w:before="220" w:beforeAutospacing="off" w:after="160" w:afterAutospacing="off" w:line="257" w:lineRule="auto"/>
            </w:pPr>
            <w:r w:rsidRPr="3121356F" w:rsidR="3121356F">
              <w:rPr>
                <w:rFonts w:ascii="Times New Roman" w:hAnsi="Times New Roman" w:eastAsia="Times New Roman" w:cs="Times New Roman"/>
                <w:b w:val="1"/>
                <w:bCs w:val="1"/>
                <w:sz w:val="22"/>
                <w:szCs w:val="22"/>
              </w:rPr>
              <w:t>80%</w:t>
            </w:r>
          </w:p>
          <w:p w:rsidR="3121356F" w:rsidP="3121356F" w:rsidRDefault="3121356F" w14:paraId="1DD9AC39" w14:textId="42EC6E40">
            <w:pPr>
              <w:spacing w:before="220" w:beforeAutospacing="off" w:after="160" w:afterAutospacing="off" w:line="257" w:lineRule="auto"/>
              <w:rPr>
                <w:rFonts w:ascii="Times New Roman" w:hAnsi="Times New Roman" w:eastAsia="Times New Roman" w:cs="Times New Roman"/>
                <w:sz w:val="22"/>
                <w:szCs w:val="22"/>
              </w:rPr>
            </w:pPr>
          </w:p>
        </w:tc>
      </w:tr>
      <w:tr w:rsidRPr="0039068A" w:rsidR="00357598" w:rsidTr="3121356F"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3121356F" w:rsidRDefault="00357598" w14:paraId="2866B72F" w14:textId="3256C60C">
            <w:pPr>
              <w:spacing w:before="220" w:beforeAutospacing="off" w:after="0" w:afterAutospacing="off" w:line="257" w:lineRule="auto"/>
              <w:ind w:left="-22" w:right="0"/>
              <w:rPr>
                <w:rFonts w:ascii="Times New Roman" w:hAnsi="Times New Roman" w:eastAsia="Times New Roman" w:cs="Times New Roman"/>
                <w:color w:val="000000" w:themeColor="text1" w:themeTint="FF" w:themeShade="FF"/>
                <w:sz w:val="22"/>
                <w:szCs w:val="22"/>
              </w:rPr>
            </w:pPr>
            <w:r w:rsidRPr="3121356F" w:rsidR="72FB35DA">
              <w:rPr>
                <w:rFonts w:ascii="Times New Roman" w:hAnsi="Times New Roman" w:eastAsia="Times New Roman" w:cs="Times New Roman"/>
                <w:color w:val="000000" w:themeColor="text1" w:themeTint="FF" w:themeShade="FF"/>
                <w:sz w:val="22"/>
                <w:szCs w:val="22"/>
              </w:rPr>
              <w:t>Participare activă în cadrul cursului (minim 8 cursuri de participare activă, bazate pe textele propuse spre discuție/teme/articole/exerciții);</w:t>
            </w:r>
          </w:p>
          <w:p w:rsidRPr="00357598" w:rsidR="00357598" w:rsidP="00373CCF" w:rsidRDefault="00357598" w14:paraId="41328FC6" w14:textId="593E1C45">
            <w:pPr>
              <w:spacing w:after="0" w:line="240" w:lineRule="auto"/>
              <w:rPr>
                <w:rFonts w:ascii="Cambria" w:hAnsi="Cambria"/>
                <w:sz w:val="20"/>
                <w:szCs w:val="20"/>
              </w:rPr>
            </w:pPr>
          </w:p>
        </w:tc>
        <w:tc>
          <w:tcPr>
            <w:tcW w:w="2409" w:type="dxa"/>
            <w:tcMar/>
            <w:vAlign w:val="center"/>
          </w:tcPr>
          <w:p w:rsidRPr="00357598" w:rsidR="00357598" w:rsidP="3121356F" w:rsidRDefault="00357598" w14:paraId="62096AE4" w14:textId="5577928B">
            <w:pPr>
              <w:pStyle w:val="Normal"/>
              <w:spacing w:before="0" w:beforeAutospacing="off" w:after="0" w:afterAutospacing="off" w:line="257" w:lineRule="auto"/>
              <w:ind w:left="0" w:right="0"/>
              <w:rPr>
                <w:rFonts w:ascii="Times New Roman" w:hAnsi="Times New Roman" w:eastAsia="Times New Roman" w:cs="Times New Roman"/>
                <w:sz w:val="24"/>
                <w:szCs w:val="24"/>
              </w:rPr>
            </w:pPr>
            <w:r w:rsidRPr="3121356F" w:rsidR="72FB35DA">
              <w:rPr>
                <w:rFonts w:ascii="Times New Roman" w:hAnsi="Times New Roman" w:eastAsia="Times New Roman" w:cs="Times New Roman"/>
                <w:sz w:val="22"/>
                <w:szCs w:val="22"/>
              </w:rPr>
              <w:t>Teme/exerciții/sarcini rezolvate în sală/în mediul de lucru online (platforma de lucru). Se punctează doar acele intervenții care se produc în cadrul întâlnirilor de curs, nu se acceptă rezolvarea ulterioară a sarcinilor. Intervențiile sunt monitorizate prin răspunsurile date de studenți în scris/postate pe platforma de lucru (Teams), în funcție de situația specifică de lucru în cadrul cursului respectiv.</w:t>
            </w:r>
          </w:p>
          <w:p w:rsidRPr="00357598" w:rsidR="00357598" w:rsidP="00373CCF" w:rsidRDefault="00357598" w14:paraId="4BC27ADE" w14:textId="7B9408B9">
            <w:pPr>
              <w:spacing w:after="0" w:line="240" w:lineRule="auto"/>
              <w:rPr>
                <w:rFonts w:ascii="Cambria" w:hAnsi="Cambria"/>
                <w:sz w:val="20"/>
                <w:szCs w:val="20"/>
              </w:rPr>
            </w:pPr>
          </w:p>
        </w:tc>
        <w:tc>
          <w:tcPr>
            <w:tcW w:w="2694" w:type="dxa"/>
            <w:tcMar/>
            <w:vAlign w:val="center"/>
          </w:tcPr>
          <w:p w:rsidRPr="00357598" w:rsidR="00357598" w:rsidP="3121356F" w:rsidRDefault="00357598" w14:paraId="7EF06B9D" w14:textId="434BF7C7">
            <w:pPr>
              <w:spacing w:before="220" w:beforeAutospacing="off" w:after="160" w:afterAutospacing="off" w:line="257" w:lineRule="auto"/>
            </w:pPr>
            <w:r w:rsidRPr="3121356F" w:rsidR="72FB35DA">
              <w:rPr>
                <w:rFonts w:ascii="Times New Roman" w:hAnsi="Times New Roman" w:eastAsia="Times New Roman" w:cs="Times New Roman"/>
                <w:b w:val="1"/>
                <w:bCs w:val="1"/>
                <w:sz w:val="22"/>
                <w:szCs w:val="22"/>
              </w:rPr>
              <w:t>20%</w:t>
            </w:r>
          </w:p>
        </w:tc>
      </w:tr>
      <w:tr w:rsidR="3121356F" w:rsidTr="3121356F" w14:paraId="43D26253">
        <w:trPr>
          <w:trHeight w:val="300"/>
        </w:trPr>
        <w:tc>
          <w:tcPr>
            <w:tcW w:w="2839" w:type="dxa"/>
            <w:vMerge/>
            <w:tcMar/>
            <w:vAlign w:val="center"/>
          </w:tcPr>
          <w:p w14:paraId="5F352C45"/>
        </w:tc>
        <w:tc>
          <w:tcPr>
            <w:tcW w:w="7653" w:type="dxa"/>
            <w:gridSpan w:val="3"/>
            <w:tcMar/>
            <w:vAlign w:val="center"/>
          </w:tcPr>
          <w:p w:rsidR="76BB57BB" w:rsidP="3121356F" w:rsidRDefault="76BB57BB" w14:paraId="35F4F676" w14:textId="27DC48FD">
            <w:pPr>
              <w:spacing w:before="220" w:beforeAutospacing="off" w:after="0" w:afterAutospacing="off" w:line="257" w:lineRule="auto"/>
            </w:pPr>
            <w:r w:rsidRPr="3121356F" w:rsidR="76BB57BB">
              <w:rPr>
                <w:rFonts w:ascii="Times New Roman" w:hAnsi="Times New Roman" w:eastAsia="Times New Roman" w:cs="Times New Roman"/>
                <w:b w:val="1"/>
                <w:bCs w:val="1"/>
                <w:noProof w:val="0"/>
                <w:sz w:val="22"/>
                <w:szCs w:val="22"/>
                <w:lang w:val="ro-RO"/>
              </w:rPr>
              <w:t>Precizări privind sesiunea de măriri/restanțe</w:t>
            </w:r>
          </w:p>
          <w:p w:rsidR="76BB57BB" w:rsidP="3121356F" w:rsidRDefault="76BB57BB" w14:paraId="1F4A468D" w14:textId="3AF63AF6">
            <w:pPr>
              <w:pStyle w:val="Listparagraf"/>
              <w:numPr>
                <w:ilvl w:val="0"/>
                <w:numId w:val="25"/>
              </w:numPr>
              <w:spacing w:before="0" w:beforeAutospacing="off" w:after="0" w:afterAutospacing="off" w:line="257" w:lineRule="auto"/>
              <w:ind w:left="720" w:right="0" w:hanging="360"/>
              <w:rPr>
                <w:rFonts w:ascii="Times New Roman" w:hAnsi="Times New Roman" w:eastAsia="Times New Roman" w:cs="Times New Roman"/>
                <w:noProof w:val="0"/>
                <w:sz w:val="22"/>
                <w:szCs w:val="22"/>
                <w:lang w:val="ro-RO"/>
              </w:rPr>
            </w:pPr>
            <w:r w:rsidRPr="3121356F" w:rsidR="76BB57BB">
              <w:rPr>
                <w:rFonts w:ascii="Times New Roman" w:hAnsi="Times New Roman" w:eastAsia="Times New Roman" w:cs="Times New Roman"/>
                <w:noProof w:val="0"/>
                <w:sz w:val="22"/>
                <w:szCs w:val="22"/>
                <w:lang w:val="ro-RO"/>
              </w:rPr>
              <w:t>Se păstrează structura de examen din  timpul semestrului (grilă)</w:t>
            </w:r>
          </w:p>
          <w:p w:rsidR="76BB57BB" w:rsidP="3121356F" w:rsidRDefault="76BB57BB" w14:paraId="0C269FBD" w14:textId="5E702E8A">
            <w:pPr>
              <w:pStyle w:val="Listparagraf"/>
              <w:numPr>
                <w:ilvl w:val="0"/>
                <w:numId w:val="25"/>
              </w:numPr>
              <w:spacing w:before="0" w:beforeAutospacing="off" w:after="0" w:afterAutospacing="off" w:line="257" w:lineRule="auto"/>
              <w:ind w:left="720" w:right="0" w:hanging="360"/>
              <w:rPr>
                <w:rFonts w:ascii="Times New Roman" w:hAnsi="Times New Roman" w:eastAsia="Times New Roman" w:cs="Times New Roman"/>
                <w:noProof w:val="0"/>
                <w:sz w:val="22"/>
                <w:szCs w:val="22"/>
                <w:lang w:val="ro-RO"/>
              </w:rPr>
            </w:pPr>
            <w:r w:rsidRPr="3121356F" w:rsidR="76BB57BB">
              <w:rPr>
                <w:rFonts w:ascii="Times New Roman" w:hAnsi="Times New Roman" w:eastAsia="Times New Roman" w:cs="Times New Roman"/>
                <w:noProof w:val="0"/>
                <w:sz w:val="22"/>
                <w:szCs w:val="22"/>
                <w:lang w:val="ro-RO"/>
              </w:rPr>
              <w:t xml:space="preserve">Nu se poate mări/recupera punctajul aferent participării active în cadrul cursului (20%) pe parcursul semestrului. </w:t>
            </w:r>
          </w:p>
          <w:p w:rsidR="76BB57BB" w:rsidP="3121356F" w:rsidRDefault="76BB57BB" w14:paraId="05DAF9F5" w14:textId="0E350020">
            <w:pPr>
              <w:pStyle w:val="Listparagraf"/>
              <w:numPr>
                <w:ilvl w:val="0"/>
                <w:numId w:val="25"/>
              </w:numPr>
              <w:spacing w:before="0" w:beforeAutospacing="off" w:after="0" w:afterAutospacing="off" w:line="257" w:lineRule="auto"/>
              <w:ind w:left="720" w:right="0" w:hanging="360"/>
              <w:rPr>
                <w:rFonts w:ascii="Times New Roman" w:hAnsi="Times New Roman" w:eastAsia="Times New Roman" w:cs="Times New Roman"/>
                <w:noProof w:val="0"/>
                <w:sz w:val="22"/>
                <w:szCs w:val="22"/>
                <w:lang w:val="ro-RO"/>
              </w:rPr>
            </w:pPr>
            <w:r w:rsidRPr="3121356F" w:rsidR="76BB57BB">
              <w:rPr>
                <w:rFonts w:ascii="Times New Roman" w:hAnsi="Times New Roman" w:eastAsia="Times New Roman" w:cs="Times New Roman"/>
                <w:noProof w:val="0"/>
                <w:sz w:val="22"/>
                <w:szCs w:val="22"/>
                <w:lang w:val="ro-RO"/>
              </w:rPr>
              <w:t>În sesiunea de măriri/restanțe se păstrează punctajul obținut pentru participarea activă la curs pe parcursul semestrului (20%).</w:t>
            </w:r>
          </w:p>
          <w:p w:rsidR="76BB57BB" w:rsidP="3121356F" w:rsidRDefault="76BB57BB" w14:paraId="0D8F44E4" w14:textId="1C54016B">
            <w:pPr>
              <w:spacing w:before="220" w:beforeAutospacing="off" w:after="160" w:afterAutospacing="off" w:line="257" w:lineRule="auto"/>
            </w:pPr>
            <w:r w:rsidRPr="3121356F" w:rsidR="76BB57BB">
              <w:rPr>
                <w:rFonts w:ascii="Times New Roman" w:hAnsi="Times New Roman" w:eastAsia="Times New Roman" w:cs="Times New Roman"/>
                <w:noProof w:val="0"/>
                <w:sz w:val="22"/>
                <w:szCs w:val="22"/>
                <w:lang w:val="ro-RO"/>
              </w:rPr>
              <w:t>În sesiunea de măriri/restanțe se păstrează bonusul de prezență obținut pentru participarea la curs pe parcursul semestrului.</w:t>
            </w:r>
          </w:p>
        </w:tc>
      </w:tr>
      <w:tr w:rsidRPr="0039068A" w:rsidR="00357598" w:rsidTr="3121356F"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3121356F" w14:paraId="6CA55508" w14:textId="77777777">
        <w:trPr>
          <w:trHeight w:val="284"/>
        </w:trPr>
        <w:tc>
          <w:tcPr>
            <w:tcW w:w="10492" w:type="dxa"/>
            <w:gridSpan w:val="4"/>
            <w:tcMar/>
          </w:tcPr>
          <w:p w:rsidRPr="00357598" w:rsidR="00357598" w:rsidP="3121356F" w:rsidRDefault="00357598" w14:paraId="54EAB9DA" w14:textId="2E5FBC97">
            <w:pPr>
              <w:numPr>
                <w:ilvl w:val="0"/>
                <w:numId w:val="3"/>
              </w:numPr>
              <w:spacing w:before="120" w:after="0" w:line="240" w:lineRule="auto"/>
              <w:rPr>
                <w:rFonts w:ascii="Times New Roman" w:hAnsi="Times New Roman" w:eastAsia="Times New Roman" w:cs="Times New Roman"/>
                <w:noProof w:val="0"/>
                <w:sz w:val="24"/>
                <w:szCs w:val="24"/>
                <w:lang w:val="ro-RO"/>
              </w:rPr>
            </w:pPr>
            <w:r w:rsidRPr="3121356F" w:rsidR="21704BE7">
              <w:rPr>
                <w:rFonts w:ascii="Cambria" w:hAnsi="Cambria"/>
                <w:sz w:val="20"/>
                <w:szCs w:val="20"/>
              </w:rPr>
              <w:t xml:space="preserve"> </w:t>
            </w:r>
            <w:r w:rsidRPr="3121356F" w:rsidR="5173CB63">
              <w:rPr>
                <w:rFonts w:ascii="Times New Roman" w:hAnsi="Times New Roman" w:eastAsia="Times New Roman" w:cs="Times New Roman"/>
                <w:noProof w:val="0"/>
                <w:sz w:val="22"/>
                <w:szCs w:val="22"/>
                <w:lang w:val="ro-RO"/>
              </w:rPr>
              <w:t xml:space="preserve">Pentru promovarea examenului final, studentul trebuie să </w:t>
            </w:r>
            <w:r w:rsidRPr="3121356F" w:rsidR="5173CB63">
              <w:rPr>
                <w:rFonts w:ascii="Times New Roman" w:hAnsi="Times New Roman" w:eastAsia="Times New Roman" w:cs="Times New Roman"/>
                <w:noProof w:val="0"/>
                <w:sz w:val="22"/>
                <w:szCs w:val="22"/>
                <w:lang w:val="ro-RO"/>
              </w:rPr>
              <w:t>obţină</w:t>
            </w:r>
            <w:r w:rsidRPr="3121356F" w:rsidR="5173CB63">
              <w:rPr>
                <w:rFonts w:ascii="Times New Roman" w:hAnsi="Times New Roman" w:eastAsia="Times New Roman" w:cs="Times New Roman"/>
                <w:noProof w:val="0"/>
                <w:sz w:val="22"/>
                <w:szCs w:val="22"/>
                <w:lang w:val="ro-RO"/>
              </w:rPr>
              <w:t xml:space="preserve"> minim nota finala 5 (examen grilă + punctaj obținut participare activă - vezi detalii mai sus, punct 10.4).</w:t>
            </w:r>
          </w:p>
          <w:p w:rsidRPr="00357598" w:rsidR="00357598" w:rsidP="3121356F" w:rsidRDefault="00357598" w14:paraId="3DFB59FF" w14:textId="6BA133F9">
            <w:pPr>
              <w:pStyle w:val="Listparagraf"/>
              <w:numPr>
                <w:ilvl w:val="0"/>
                <w:numId w:val="3"/>
              </w:numPr>
              <w:spacing w:before="0" w:beforeAutospacing="off" w:after="0" w:afterAutospacing="off" w:line="257" w:lineRule="auto"/>
              <w:ind w:right="0"/>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Nu se poate obține nota finala 5 prin acumulare punctaj seminar și bonus prezență curs, este obligatorie susținerea examenului final de tip grilă.</w:t>
            </w:r>
          </w:p>
          <w:p w:rsidRPr="00357598" w:rsidR="00357598" w:rsidP="3121356F" w:rsidRDefault="00357598" w14:paraId="18CE9F6F" w14:textId="70200CCC">
            <w:pPr>
              <w:pStyle w:val="Listparagraf"/>
              <w:numPr>
                <w:ilvl w:val="0"/>
                <w:numId w:val="3"/>
              </w:numPr>
              <w:spacing w:before="0" w:beforeAutospacing="off" w:after="0" w:afterAutospacing="off" w:line="257" w:lineRule="auto"/>
              <w:ind w:right="0"/>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 xml:space="preserve">Examen tip grilă - materia de curs (notițe individuale luate de student; suport PPT pus la dispoziție de cadrul didactic) </w:t>
            </w:r>
          </w:p>
          <w:p w:rsidRPr="00357598" w:rsidR="00357598" w:rsidP="3121356F" w:rsidRDefault="00357598" w14:paraId="7BA6D2F9" w14:textId="55243CF9">
            <w:pPr>
              <w:pStyle w:val="Listparagraf"/>
              <w:numPr>
                <w:ilvl w:val="0"/>
                <w:numId w:val="3"/>
              </w:numPr>
              <w:spacing w:before="0" w:beforeAutospacing="off" w:after="0" w:afterAutospacing="off" w:line="257" w:lineRule="auto"/>
              <w:ind w:right="0"/>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La nota finală se adaugă punctajul obținut pentru bonusul de prezență la curs.</w:t>
            </w:r>
          </w:p>
          <w:p w:rsidRPr="00357598" w:rsidR="00357598" w:rsidP="3121356F" w:rsidRDefault="00357598" w14:paraId="0187CCBF" w14:textId="1D4CB055">
            <w:pPr>
              <w:numPr>
                <w:ilvl w:val="0"/>
                <w:numId w:val="3"/>
              </w:numPr>
              <w:spacing w:before="120" w:after="0" w:line="240" w:lineRule="auto"/>
              <w:rPr>
                <w:rFonts w:ascii="Cambria" w:hAnsi="Cambria"/>
                <w:sz w:val="20"/>
                <w:szCs w:val="20"/>
              </w:rPr>
            </w:pPr>
            <w:r w:rsidRPr="3121356F" w:rsidR="5173CB63">
              <w:rPr>
                <w:rFonts w:ascii="Times New Roman" w:hAnsi="Times New Roman" w:eastAsia="Times New Roman" w:cs="Times New Roman"/>
                <w:noProof w:val="0"/>
                <w:sz w:val="22"/>
                <w:szCs w:val="22"/>
                <w:lang w:val="ro-RO"/>
              </w:rPr>
              <w:t>Participarea la activitățile cursului este esențială pentru desfășurarea lor productivă și implică lectura textelor obligatorii stabilite pentru fiecare întâlnire, rezolvarea sarcinilor propuse spre lucru în cadrul întâlnirilor.</w:t>
            </w:r>
          </w:p>
          <w:p w:rsidRPr="00357598" w:rsidR="00357598" w:rsidP="3121356F" w:rsidRDefault="00357598" w14:paraId="16F77307" w14:textId="17C7B5FE">
            <w:pPr>
              <w:pStyle w:val="Listparagraf"/>
              <w:numPr>
                <w:ilvl w:val="0"/>
                <w:numId w:val="3"/>
              </w:numPr>
              <w:spacing w:before="220" w:beforeAutospacing="off" w:after="0" w:afterAutospacing="off" w:line="257" w:lineRule="auto"/>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Prezența la curs nu este obligatorie, dar este recomandată. Participarea la cursuri oferă posibilitatea obținerii a maxim 1 punct bonus la examenul final, calculându-se 0,1 p/prezență la curs.</w:t>
            </w:r>
          </w:p>
          <w:p w:rsidRPr="00357598" w:rsidR="00357598" w:rsidP="3121356F" w:rsidRDefault="00357598" w14:paraId="6AB48B41" w14:textId="2A909444">
            <w:pPr>
              <w:pStyle w:val="Listparagraf"/>
              <w:numPr>
                <w:ilvl w:val="0"/>
                <w:numId w:val="3"/>
              </w:numPr>
              <w:spacing w:before="220" w:beforeAutospacing="off" w:after="0" w:afterAutospacing="off" w:line="257" w:lineRule="auto"/>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 xml:space="preserve">De-a lungul semestrului pot apărea schimbări în lista lecturilor. Verificați săptămânal recomandările bibliografice propuse de cadrul didactic. Acestea vor fi comunicate pe platforma MS </w:t>
            </w:r>
            <w:r w:rsidRPr="3121356F" w:rsidR="5173CB63">
              <w:rPr>
                <w:rFonts w:ascii="Times New Roman" w:hAnsi="Times New Roman" w:eastAsia="Times New Roman" w:cs="Times New Roman"/>
                <w:noProof w:val="0"/>
                <w:sz w:val="22"/>
                <w:szCs w:val="22"/>
                <w:lang w:val="ro-RO"/>
              </w:rPr>
              <w:t>Teams</w:t>
            </w:r>
            <w:r w:rsidRPr="3121356F" w:rsidR="5173CB63">
              <w:rPr>
                <w:rFonts w:ascii="Times New Roman" w:hAnsi="Times New Roman" w:eastAsia="Times New Roman" w:cs="Times New Roman"/>
                <w:noProof w:val="0"/>
                <w:sz w:val="22"/>
                <w:szCs w:val="22"/>
                <w:lang w:val="ro-RO"/>
              </w:rPr>
              <w:t xml:space="preserve">, pe canalul aferent materiei.  Este responsabilitatea studentului sa fie la curent cu toate modificările făcute. Ordinea tematicii de curs poate să difere de cea prezentată în </w:t>
            </w:r>
            <w:r w:rsidRPr="3121356F" w:rsidR="5173CB63">
              <w:rPr>
                <w:rFonts w:ascii="Times New Roman" w:hAnsi="Times New Roman" w:eastAsia="Times New Roman" w:cs="Times New Roman"/>
                <w:noProof w:val="0"/>
                <w:sz w:val="22"/>
                <w:szCs w:val="22"/>
                <w:lang w:val="ro-RO"/>
              </w:rPr>
              <w:t>syllabus</w:t>
            </w:r>
            <w:r w:rsidRPr="3121356F" w:rsidR="5173CB63">
              <w:rPr>
                <w:rFonts w:ascii="Times New Roman" w:hAnsi="Times New Roman" w:eastAsia="Times New Roman" w:cs="Times New Roman"/>
                <w:noProof w:val="0"/>
                <w:sz w:val="22"/>
                <w:szCs w:val="22"/>
                <w:lang w:val="ro-RO"/>
              </w:rPr>
              <w:t xml:space="preserve"> în funcție de dinamica de lucru. </w:t>
            </w:r>
          </w:p>
          <w:p w:rsidRPr="00357598" w:rsidR="00357598" w:rsidP="3121356F" w:rsidRDefault="00357598" w14:paraId="67B7FE5D" w14:textId="755E7A9A">
            <w:pPr>
              <w:pStyle w:val="Listparagraf"/>
              <w:numPr>
                <w:ilvl w:val="0"/>
                <w:numId w:val="3"/>
              </w:numPr>
              <w:spacing w:before="220" w:beforeAutospacing="off" w:after="0" w:afterAutospacing="off" w:line="257" w:lineRule="auto"/>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Punctajul acordat pentru participarea activă în cadrul cursului (2 p; 8 prezențe active) nu poate fi înlocuit de alte sarcini, nici în timpul semestrului, nici în sesiunea de restanțe. Se oferă punctaje intermediare (0,25 per prezență activă, dar nu se pot obține cumulativ mai mult de 2 puncte). Singurul motiv pentru care se acceptă o formă de compensare a absențelor care nu au permis îndeplinirea sarcinilor de lucru în sala de curs sunt motivele medicale cu acte doveditoare sau alte</w:t>
            </w:r>
          </w:p>
          <w:p w:rsidRPr="00357598" w:rsidR="00357598" w:rsidP="3121356F" w:rsidRDefault="00357598" w14:paraId="6766C520" w14:textId="5A6E9327">
            <w:pPr>
              <w:pStyle w:val="Listparagraf"/>
              <w:numPr>
                <w:ilvl w:val="0"/>
                <w:numId w:val="3"/>
              </w:numPr>
              <w:spacing w:before="220" w:beforeAutospacing="off" w:after="0" w:afterAutospacing="off" w:line="257" w:lineRule="auto"/>
              <w:rPr>
                <w:rFonts w:ascii="Times New Roman" w:hAnsi="Times New Roman" w:eastAsia="Times New Roman" w:cs="Times New Roman"/>
                <w:noProof w:val="0"/>
                <w:sz w:val="24"/>
                <w:szCs w:val="24"/>
                <w:lang w:val="ro-RO"/>
              </w:rPr>
            </w:pPr>
            <w:r w:rsidRPr="3121356F" w:rsidR="5173CB63">
              <w:rPr>
                <w:rFonts w:ascii="Times New Roman" w:hAnsi="Times New Roman" w:eastAsia="Times New Roman" w:cs="Times New Roman"/>
                <w:noProof w:val="0"/>
                <w:sz w:val="22"/>
                <w:szCs w:val="22"/>
                <w:lang w:val="ro-RO"/>
              </w:rPr>
              <w:t>situații reale de urgență. Statutul de angajat al studentului nu reprezintă un motiv legitim de absență.</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lastRenderedPageBreak/>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002518F3" w14:paraId="2195F4D4" w14:textId="77777777">
        <w:trPr>
          <w:gridAfter w:val="1"/>
          <w:wAfter w:w="3119" w:type="dxa"/>
          <w:trHeight w:val="2093"/>
        </w:trPr>
        <w:tc>
          <w:tcPr>
            <w:tcW w:w="3545" w:type="dxa"/>
            <w:shd w:val="clear" w:color="auto" w:fill="FFFFFF" w:themeFill="background1"/>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242E0D23">
            <w:pPr>
              <w:rPr>
                <w:rFonts w:ascii="Cambria" w:hAnsi="Cambria"/>
              </w:rPr>
            </w:pPr>
          </w:p>
        </w:tc>
        <w:tc>
          <w:tcPr>
            <w:tcW w:w="3827" w:type="dxa"/>
            <w:shd w:val="clear" w:color="auto" w:fill="FFFFFF" w:themeFill="background1"/>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025" w:rsidP="00D12BC3" w:rsidRDefault="00A27025" w14:paraId="4630A66D" w14:textId="77777777">
      <w:pPr>
        <w:spacing w:after="0" w:line="240" w:lineRule="auto"/>
      </w:pPr>
      <w:r>
        <w:separator/>
      </w:r>
    </w:p>
  </w:endnote>
  <w:endnote w:type="continuationSeparator" w:id="0">
    <w:p w:rsidR="00A27025" w:rsidP="00D12BC3" w:rsidRDefault="00A27025" w14:paraId="2D4662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025" w:rsidP="00D12BC3" w:rsidRDefault="00A27025" w14:paraId="1678F616" w14:textId="77777777">
      <w:pPr>
        <w:spacing w:after="0" w:line="240" w:lineRule="auto"/>
      </w:pPr>
      <w:r>
        <w:separator/>
      </w:r>
    </w:p>
  </w:footnote>
  <w:footnote w:type="continuationSeparator" w:id="0">
    <w:p w:rsidR="00A27025" w:rsidP="00D12BC3" w:rsidRDefault="00A27025" w14:paraId="4BE6DBB2"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29bdc4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154a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84d7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6a3d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a209338"/>
    <w:multiLevelType xmlns:w="http://schemas.openxmlformats.org/wordprocessingml/2006/main" w:val="hybridMultilevel"/>
    <w:lvl xmlns:w="http://schemas.openxmlformats.org/wordprocessingml/2006/main" w:ilvl="0">
      <w:start w:val="50"/>
      <w:numFmt w:val="lowerRoman"/>
      <w:lvlText w:val="l"/>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23f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76171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836ea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2ab6b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72599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68e1b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2c743a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5f296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49056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626af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7f33e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7f2b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5175a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3c7e9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2a3cf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3c812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1D4E"/>
    <w:rsid w:val="00011141"/>
    <w:rsid w:val="00035F4F"/>
    <w:rsid w:val="00036059"/>
    <w:rsid w:val="000A1C1C"/>
    <w:rsid w:val="000B6EB1"/>
    <w:rsid w:val="000B7D0D"/>
    <w:rsid w:val="000D20FE"/>
    <w:rsid w:val="000F20F3"/>
    <w:rsid w:val="000F2DF8"/>
    <w:rsid w:val="001000DF"/>
    <w:rsid w:val="00105C9A"/>
    <w:rsid w:val="00111926"/>
    <w:rsid w:val="0011390E"/>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5FEA"/>
    <w:rsid w:val="003F659E"/>
    <w:rsid w:val="0040441A"/>
    <w:rsid w:val="00405204"/>
    <w:rsid w:val="0042330E"/>
    <w:rsid w:val="00426637"/>
    <w:rsid w:val="00443956"/>
    <w:rsid w:val="00453436"/>
    <w:rsid w:val="004613CA"/>
    <w:rsid w:val="004675C5"/>
    <w:rsid w:val="00467B64"/>
    <w:rsid w:val="00477B29"/>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9576D"/>
    <w:rsid w:val="005B2068"/>
    <w:rsid w:val="005B2BEB"/>
    <w:rsid w:val="005B66A9"/>
    <w:rsid w:val="005E100B"/>
    <w:rsid w:val="005E1610"/>
    <w:rsid w:val="005F30A6"/>
    <w:rsid w:val="006016CF"/>
    <w:rsid w:val="00606962"/>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670BA"/>
    <w:rsid w:val="00885BDD"/>
    <w:rsid w:val="00886616"/>
    <w:rsid w:val="00896BDD"/>
    <w:rsid w:val="00896E10"/>
    <w:rsid w:val="008B15F8"/>
    <w:rsid w:val="008C28C6"/>
    <w:rsid w:val="008C5C8F"/>
    <w:rsid w:val="008C6A8A"/>
    <w:rsid w:val="008E6D88"/>
    <w:rsid w:val="008F5E28"/>
    <w:rsid w:val="00926B54"/>
    <w:rsid w:val="00936988"/>
    <w:rsid w:val="009401B8"/>
    <w:rsid w:val="00944A03"/>
    <w:rsid w:val="009508B1"/>
    <w:rsid w:val="00996BA6"/>
    <w:rsid w:val="00996E5F"/>
    <w:rsid w:val="009A3BE9"/>
    <w:rsid w:val="009F6D96"/>
    <w:rsid w:val="00A16B7E"/>
    <w:rsid w:val="00A2132C"/>
    <w:rsid w:val="00A23D3E"/>
    <w:rsid w:val="00A24211"/>
    <w:rsid w:val="00A27025"/>
    <w:rsid w:val="00A30F6F"/>
    <w:rsid w:val="00A4215F"/>
    <w:rsid w:val="00A713B0"/>
    <w:rsid w:val="00A74D64"/>
    <w:rsid w:val="00A81EB6"/>
    <w:rsid w:val="00A82450"/>
    <w:rsid w:val="00AB0DE7"/>
    <w:rsid w:val="00AB3BFD"/>
    <w:rsid w:val="00AE5FC2"/>
    <w:rsid w:val="00B07941"/>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B3983"/>
    <w:rsid w:val="00EF1903"/>
    <w:rsid w:val="00EF7B22"/>
    <w:rsid w:val="00F01F2B"/>
    <w:rsid w:val="00F33024"/>
    <w:rsid w:val="00F52A38"/>
    <w:rsid w:val="00F65EFF"/>
    <w:rsid w:val="00F708DA"/>
    <w:rsid w:val="00F76D8F"/>
    <w:rsid w:val="00F81966"/>
    <w:rsid w:val="00F85E5C"/>
    <w:rsid w:val="00F974CE"/>
    <w:rsid w:val="00FA3D17"/>
    <w:rsid w:val="00FA7471"/>
    <w:rsid w:val="00FB093A"/>
    <w:rsid w:val="00FB5485"/>
    <w:rsid w:val="00FC204E"/>
    <w:rsid w:val="00FD3B76"/>
    <w:rsid w:val="03C885EC"/>
    <w:rsid w:val="0628486D"/>
    <w:rsid w:val="0639D92E"/>
    <w:rsid w:val="0F68E898"/>
    <w:rsid w:val="0F68E898"/>
    <w:rsid w:val="10828B11"/>
    <w:rsid w:val="118C1100"/>
    <w:rsid w:val="12BF6ECC"/>
    <w:rsid w:val="15847F61"/>
    <w:rsid w:val="16A314C2"/>
    <w:rsid w:val="185647BA"/>
    <w:rsid w:val="19B8BAF2"/>
    <w:rsid w:val="1B58FE92"/>
    <w:rsid w:val="1BE68D92"/>
    <w:rsid w:val="1F59CD12"/>
    <w:rsid w:val="1FAD5682"/>
    <w:rsid w:val="21704BE7"/>
    <w:rsid w:val="21D43E91"/>
    <w:rsid w:val="240C5EC0"/>
    <w:rsid w:val="2983BF29"/>
    <w:rsid w:val="2B83C5D6"/>
    <w:rsid w:val="2CBC8AB1"/>
    <w:rsid w:val="2F49122F"/>
    <w:rsid w:val="2F49122F"/>
    <w:rsid w:val="3121356F"/>
    <w:rsid w:val="36B3B874"/>
    <w:rsid w:val="389FB910"/>
    <w:rsid w:val="389FB910"/>
    <w:rsid w:val="3DD9F2B2"/>
    <w:rsid w:val="41857A1C"/>
    <w:rsid w:val="43DB188B"/>
    <w:rsid w:val="4BDDE521"/>
    <w:rsid w:val="4C501D65"/>
    <w:rsid w:val="4D95D61F"/>
    <w:rsid w:val="4ED16D66"/>
    <w:rsid w:val="50758EB7"/>
    <w:rsid w:val="50758EB7"/>
    <w:rsid w:val="512F3FBB"/>
    <w:rsid w:val="5173CB63"/>
    <w:rsid w:val="52A584D7"/>
    <w:rsid w:val="544FEDEC"/>
    <w:rsid w:val="59C9C103"/>
    <w:rsid w:val="5C4D1D23"/>
    <w:rsid w:val="5F12AF14"/>
    <w:rsid w:val="62868F2D"/>
    <w:rsid w:val="6658A1C0"/>
    <w:rsid w:val="684820E4"/>
    <w:rsid w:val="696F8759"/>
    <w:rsid w:val="6E1D22B6"/>
    <w:rsid w:val="6E1D22B6"/>
    <w:rsid w:val="72FB35DA"/>
    <w:rsid w:val="76BB57BB"/>
    <w:rsid w:val="7E70B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hyperlink" Target="https://www.odnetwork.org/" TargetMode="External" Id="R070a30a6988a4825" /><Relationship Type="http://schemas.openxmlformats.org/officeDocument/2006/relationships/hyperlink" Target="https://instituteod.com/what-is-organization-development-od-and-how-does-it-differ-from-other-change-management-models/" TargetMode="External" Id="R8844217d513c454b"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Veronica-Maria Mateescu</lastModifiedBy>
  <revision>30</revision>
  <dcterms:created xsi:type="dcterms:W3CDTF">2025-07-30T11:18:00.0000000Z</dcterms:created>
  <dcterms:modified xsi:type="dcterms:W3CDTF">2025-09-11T09:28:11.4644644Z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