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30D7C36A">
        <w:rPr>
          <w:rFonts w:ascii="Cambria" w:hAnsi="Cambria"/>
          <w:b/>
          <w:bCs/>
        </w:rPr>
        <w:t>FIŞA DISCIPLINEI</w:t>
      </w:r>
    </w:p>
    <w:p w:rsidR="00C50464" w:rsidP="1583E066" w:rsidRDefault="00C50464" w14:paraId="628A589B" w14:textId="77777777">
      <w:pPr>
        <w:jc w:val="center"/>
        <w:rPr>
          <w:rFonts w:ascii="Cambria" w:hAnsi="Cambria"/>
          <w:i/>
          <w:iCs/>
        </w:rPr>
      </w:pPr>
      <w:r w:rsidRPr="00C50464">
        <w:rPr>
          <w:rFonts w:ascii="Cambria" w:hAnsi="Cambria"/>
          <w:i/>
          <w:iCs/>
        </w:rPr>
        <w:t>Învățare și dezvoltare în resurse umane</w:t>
      </w:r>
    </w:p>
    <w:p w:rsidRPr="000A1C1C" w:rsidR="00123B64" w:rsidP="1583E066" w:rsidRDefault="00123B64" w14:paraId="147D6DE1" w14:textId="7DACA030">
      <w:pPr>
        <w:jc w:val="center"/>
        <w:rPr>
          <w:rFonts w:ascii="Cambria" w:hAnsi="Cambria" w:eastAsia="Cambria" w:cs="Cambria"/>
        </w:rPr>
      </w:pPr>
      <w:r w:rsidRPr="1583E066">
        <w:rPr>
          <w:rFonts w:ascii="Cambria" w:hAnsi="Cambria"/>
        </w:rPr>
        <w:t>Anul universitar</w:t>
      </w:r>
      <w:r w:rsidRPr="1583E066" w:rsidR="00632190">
        <w:rPr>
          <w:rFonts w:ascii="Cambria" w:hAnsi="Cambria"/>
        </w:rPr>
        <w:t xml:space="preserve"> </w:t>
      </w:r>
      <w:r w:rsidRPr="1583E066" w:rsidR="0092E41C">
        <w:rPr>
          <w:rFonts w:ascii="Cambria" w:hAnsi="Cambria" w:eastAsia="Cambria" w:cs="Cambria"/>
          <w:color w:val="000000" w:themeColor="text1"/>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48E433DB" w14:paraId="36E5E3E1" w14:textId="77777777">
        <w:trPr>
          <w:trHeight w:val="300"/>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Universitatea Babeș-Bolyai</w:t>
            </w:r>
          </w:p>
        </w:tc>
      </w:tr>
      <w:tr w:rsidRPr="00D51618" w:rsidR="00D51618" w:rsidTr="48E433DB" w14:paraId="337527D1" w14:textId="77777777">
        <w:trPr>
          <w:trHeight w:val="300"/>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Facultatea de Sociologie și Asistență Socială</w:t>
            </w:r>
          </w:p>
        </w:tc>
      </w:tr>
      <w:tr w:rsidRPr="00D51618" w:rsidR="00D51618" w:rsidTr="48E433DB" w14:paraId="76018161" w14:textId="77777777">
        <w:trPr>
          <w:trHeight w:val="300"/>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Sociologie</w:t>
            </w:r>
          </w:p>
        </w:tc>
      </w:tr>
      <w:tr w:rsidRPr="00D51618" w:rsidR="00D51618" w:rsidTr="48E433DB" w14:paraId="75057EAD" w14:textId="77777777">
        <w:trPr>
          <w:trHeight w:val="300"/>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1.4.</w:t>
            </w:r>
            <w:r w:rsidRPr="48E433DB">
              <w:rPr>
                <w:rFonts w:ascii="Cambria" w:hAnsi="Cambria" w:eastAsia="Times New Roman" w:cs="Times New Roman"/>
                <w:b/>
                <w:bCs/>
                <w:kern w:val="0"/>
                <w:sz w:val="20"/>
                <w:szCs w:val="20"/>
                <w:lang w:eastAsia="zh-CN"/>
                <w14:ligatures w14:val="none"/>
              </w:rPr>
              <w:t xml:space="preserve"> </w:t>
            </w:r>
            <w:r w:rsidRPr="00D51618">
              <w:rPr>
                <w:rFonts w:ascii="Cambria" w:hAnsi="Cambria" w:eastAsia="Times New Roman" w:cs="Times New Roman"/>
                <w:kern w:val="0"/>
                <w:sz w:val="20"/>
                <w:szCs w:val="20"/>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Sociologie</w:t>
            </w:r>
          </w:p>
        </w:tc>
      </w:tr>
      <w:tr w:rsidRPr="00D51618" w:rsidR="00D51618" w:rsidTr="48E433DB" w14:paraId="621A245D" w14:textId="77777777">
        <w:trPr>
          <w:trHeight w:val="300"/>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0"/>
                <w:vertAlign w:val="superscript"/>
                <w:lang w:eastAsia="zh-CN"/>
                <w14:ligatures w14:val="none"/>
              </w:rPr>
            </w:pPr>
            <w:r w:rsidRPr="00D51618">
              <w:rPr>
                <w:rFonts w:ascii="Cambria" w:hAnsi="Cambria" w:eastAsia="Times New Roman" w:cs="Times New Roman"/>
                <w:kern w:val="0"/>
                <w:sz w:val="20"/>
                <w:szCs w:val="20"/>
                <w:lang w:eastAsia="zh-CN"/>
                <w14:ligatures w14:val="none"/>
              </w:rPr>
              <w:t>1.5.</w:t>
            </w:r>
            <w:r w:rsidRPr="48E433DB">
              <w:rPr>
                <w:rFonts w:ascii="Cambria" w:hAnsi="Cambria" w:eastAsia="Times New Roman" w:cs="Times New Roman"/>
                <w:b/>
                <w:bCs/>
                <w:kern w:val="0"/>
                <w:sz w:val="20"/>
                <w:szCs w:val="20"/>
                <w:lang w:eastAsia="zh-CN"/>
                <w14:ligatures w14:val="none"/>
              </w:rPr>
              <w:t xml:space="preserve"> </w:t>
            </w:r>
            <w:r w:rsidRPr="00D51618">
              <w:rPr>
                <w:rFonts w:ascii="Cambria" w:hAnsi="Cambria" w:eastAsia="Times New Roman" w:cs="Times New Roman"/>
                <w:kern w:val="0"/>
                <w:sz w:val="20"/>
                <w:szCs w:val="20"/>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Licență</w:t>
            </w:r>
          </w:p>
        </w:tc>
      </w:tr>
      <w:tr w:rsidRPr="00D51618" w:rsidR="00D51618" w:rsidTr="48E433DB" w14:paraId="656B8906" w14:textId="77777777">
        <w:trPr>
          <w:trHeight w:val="300"/>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1.6. Programul de studii / Calificarea</w:t>
            </w:r>
          </w:p>
        </w:tc>
        <w:tc>
          <w:tcPr>
            <w:tcW w:w="7088" w:type="dxa"/>
            <w:vAlign w:val="center"/>
          </w:tcPr>
          <w:p w:rsidRPr="00D51618" w:rsidR="00D51618" w:rsidP="00D51618" w:rsidRDefault="00F44AE4" w14:paraId="2025CE64" w14:textId="30D0DDB4">
            <w:pPr>
              <w:keepNext/>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48E433DB" w14:paraId="506B4158" w14:textId="77777777">
        <w:trPr>
          <w:trHeight w:val="300"/>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0"/>
                <w:lang w:eastAsia="zh-CN"/>
                <w14:ligatures w14:val="none"/>
              </w:rPr>
            </w:pPr>
            <w:r w:rsidRPr="00D51618">
              <w:rPr>
                <w:rFonts w:ascii="Cambria" w:hAnsi="Cambria" w:eastAsia="Times New Roman" w:cs="Times New Roman"/>
                <w:kern w:val="0"/>
                <w:sz w:val="20"/>
                <w:szCs w:val="20"/>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0"/>
                <w:lang w:eastAsia="zh-CN"/>
                <w14:ligatures w14:val="none"/>
              </w:rPr>
            </w:pPr>
            <w:r>
              <w:rPr>
                <w:rFonts w:ascii="Cambria" w:hAnsi="Cambria" w:eastAsia="Times New Roman" w:cs="Times New Roman"/>
                <w:kern w:val="0"/>
                <w:sz w:val="20"/>
                <w:szCs w:val="20"/>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847C037" w14:paraId="3E2CE595" w14:textId="77777777">
        <w:trPr>
          <w:trHeight w:val="300"/>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30D7C36A" w:rsidRDefault="00C50464" w14:paraId="56BB9F54" w14:textId="5F5A6C59">
            <w:pPr>
              <w:pStyle w:val="Default"/>
              <w:rPr>
                <w:rFonts w:ascii="Cambria" w:hAnsi="Cambria" w:eastAsia="Cambria" w:cs="Cambria"/>
                <w:sz w:val="20"/>
                <w:szCs w:val="20"/>
              </w:rPr>
            </w:pPr>
            <w:r w:rsidRPr="00C50464">
              <w:rPr>
                <w:rFonts w:ascii="Cambria" w:hAnsi="Cambria" w:eastAsia="Cambria" w:cs="Cambria"/>
                <w:sz w:val="20"/>
                <w:szCs w:val="20"/>
              </w:rPr>
              <w:t>Învățare și dezvoltare în resurse umane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30D7C36A" w:rsidRDefault="00DB08E5" w14:paraId="7CA76DD1" w14:textId="11918BA8">
            <w:pPr>
              <w:pStyle w:val="Default"/>
              <w:rPr>
                <w:rFonts w:ascii="Cambria" w:hAnsi="Cambria" w:eastAsia="Cambria" w:cs="Cambria"/>
                <w:sz w:val="20"/>
                <w:szCs w:val="20"/>
              </w:rPr>
            </w:pPr>
            <w:r w:rsidRPr="00DB08E5">
              <w:rPr>
                <w:rFonts w:ascii="Cambria" w:hAnsi="Cambria" w:eastAsia="Cambria" w:cs="Cambria"/>
                <w:color w:val="000000" w:themeColor="text1"/>
                <w:sz w:val="20"/>
                <w:szCs w:val="20"/>
                <w:lang w:val="en-GB"/>
              </w:rPr>
              <w:t>ALR3434</w:t>
            </w:r>
          </w:p>
        </w:tc>
      </w:tr>
      <w:tr w:rsidRPr="00972DAD" w:rsidR="008F5E28" w:rsidTr="3847C037" w14:paraId="7729D621" w14:textId="77777777">
        <w:trPr>
          <w:trHeight w:val="300"/>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30D7C36A" w:rsidRDefault="00DB08E5" w14:paraId="02F7CAC0" w14:textId="4D8C5C5A">
            <w:pPr>
              <w:suppressAutoHyphens/>
              <w:spacing w:after="0" w:line="240" w:lineRule="auto"/>
              <w:rPr>
                <w:rFonts w:ascii="Cambria" w:hAnsi="Cambria" w:eastAsia="Cambria" w:cs="Cambria"/>
                <w:sz w:val="20"/>
                <w:szCs w:val="20"/>
                <w:lang w:val="ro"/>
              </w:rPr>
            </w:pPr>
            <w:r>
              <w:rPr>
                <w:rFonts w:ascii="Cambria" w:hAnsi="Cambria" w:eastAsia="Cambria" w:cs="Cambria"/>
                <w:sz w:val="20"/>
                <w:szCs w:val="20"/>
                <w:lang w:val="ro"/>
              </w:rPr>
              <w:t>Liana Precup</w:t>
            </w:r>
            <w:r w:rsidR="00EE73AE">
              <w:rPr>
                <w:rFonts w:ascii="Cambria" w:hAnsi="Cambria" w:eastAsia="Cambria" w:cs="Cambria"/>
                <w:sz w:val="20"/>
                <w:szCs w:val="20"/>
                <w:lang w:val="ro"/>
              </w:rPr>
              <w:t xml:space="preserve"> </w:t>
            </w:r>
            <w:proofErr w:type="spellStart"/>
            <w:r w:rsidR="00EE73AE">
              <w:rPr>
                <w:rFonts w:ascii="Cambria" w:hAnsi="Cambria" w:eastAsia="Cambria" w:cs="Cambria"/>
                <w:sz w:val="20"/>
                <w:szCs w:val="20"/>
                <w:lang w:val="ro"/>
              </w:rPr>
              <w:t>PhD</w:t>
            </w:r>
            <w:proofErr w:type="spellEnd"/>
            <w:r w:rsidR="00EE73AE">
              <w:rPr>
                <w:rFonts w:ascii="Cambria" w:hAnsi="Cambria" w:eastAsia="Cambria" w:cs="Cambria"/>
                <w:sz w:val="20"/>
                <w:szCs w:val="20"/>
                <w:lang w:val="ro"/>
              </w:rPr>
              <w:t>.</w:t>
            </w:r>
          </w:p>
        </w:tc>
      </w:tr>
      <w:tr w:rsidRPr="00972DAD" w:rsidR="008F5E28" w:rsidTr="3847C037" w14:paraId="6941DE1C" w14:textId="77777777">
        <w:trPr>
          <w:trHeight w:val="300"/>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3847C037" w14:paraId="5663EAF6" w14:textId="77777777">
        <w:trPr>
          <w:trHeight w:val="300"/>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8E433DB" w:rsidRDefault="003C135D" w14:paraId="642D3A83" w14:textId="51AF3EAC">
            <w:pPr>
              <w:suppressAutoHyphens/>
              <w:spacing w:after="0" w:line="240" w:lineRule="auto"/>
              <w:jc w:val="center"/>
              <w:rPr>
                <w:rFonts w:ascii="Cambria" w:hAnsi="Cambria" w:eastAsia="Times New Roman" w:cs="Times New Roman"/>
                <w:sz w:val="20"/>
                <w:szCs w:val="20"/>
                <w:lang w:eastAsia="zh-CN"/>
              </w:rPr>
            </w:pPr>
            <w:r w:rsidRPr="3847C037" w:rsidR="003C135D">
              <w:rPr>
                <w:rFonts w:ascii="Cambria" w:hAnsi="Cambria" w:eastAsia="Times New Roman" w:cs="Times New Roman"/>
                <w:sz w:val="20"/>
                <w:szCs w:val="20"/>
                <w:lang w:eastAsia="zh-CN"/>
              </w:rPr>
              <w:t>I</w:t>
            </w:r>
            <w:r w:rsidRPr="3847C037" w:rsidR="00C1453F">
              <w:rPr>
                <w:rFonts w:ascii="Cambria" w:hAnsi="Cambria" w:eastAsia="Times New Roman" w:cs="Times New Roman"/>
                <w:sz w:val="20"/>
                <w:szCs w:val="20"/>
                <w:lang w:eastAsia="zh-CN"/>
              </w:rPr>
              <w:t>I</w:t>
            </w:r>
            <w:r w:rsidRPr="3847C037" w:rsidR="29840EA7">
              <w:rPr>
                <w:rFonts w:ascii="Cambria" w:hAnsi="Cambria" w:eastAsia="Times New Roman" w:cs="Times New Roman"/>
                <w:sz w:val="20"/>
                <w:szCs w:val="20"/>
                <w:lang w:eastAsia="zh-CN"/>
              </w:rPr>
              <w:t>, III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8E433DB" w:rsidRDefault="27882A63" w14:paraId="1CE49F94" w14:textId="76F34987">
            <w:pPr>
              <w:suppressAutoHyphens/>
              <w:spacing w:after="0" w:line="240" w:lineRule="auto"/>
              <w:jc w:val="center"/>
              <w:rPr>
                <w:rFonts w:ascii="Cambria" w:hAnsi="Cambria" w:eastAsia="Times New Roman" w:cs="Times New Roman"/>
                <w:sz w:val="20"/>
                <w:szCs w:val="20"/>
                <w:lang w:eastAsia="zh-CN"/>
              </w:rPr>
            </w:pPr>
            <w:r w:rsidRPr="3847C037" w:rsidR="6318B1FA">
              <w:rPr>
                <w:rFonts w:ascii="Cambria" w:hAnsi="Cambria" w:eastAsia="Times New Roman" w:cs="Times New Roman"/>
                <w:sz w:val="20"/>
                <w:szCs w:val="20"/>
                <w:lang w:eastAsia="zh-CN"/>
              </w:rPr>
              <w:t>4,6</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30D7C36A" w14:paraId="4BEA5162" w14:textId="77777777">
        <w:trPr>
          <w:trHeight w:val="300"/>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30D7C36A" w14:paraId="4ED618CB" w14:textId="77777777">
        <w:trPr>
          <w:trHeight w:val="300"/>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30D7C36A" w14:paraId="76F485A1" w14:textId="77777777">
        <w:trPr>
          <w:trHeight w:val="300"/>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30D7C36A" w14:paraId="099BC67F" w14:textId="77777777">
        <w:trPr>
          <w:trHeight w:val="300"/>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30D7C36A" w:rsidRDefault="5FB9C5A8" w14:paraId="1F6F3D9F" w14:textId="7F8D3158">
            <w:pPr>
              <w:keepNext/>
              <w:suppressAutoHyphens/>
              <w:spacing w:after="0" w:line="240" w:lineRule="auto"/>
              <w:jc w:val="center"/>
              <w:outlineLvl w:val="1"/>
              <w:rPr>
                <w:rFonts w:ascii="Cambria" w:hAnsi="Cambria" w:eastAsia="Times New Roman" w:cs="Times New Roman"/>
                <w:sz w:val="20"/>
                <w:szCs w:val="20"/>
                <w:lang w:eastAsia="zh-CN"/>
              </w:rPr>
            </w:pPr>
            <w:r w:rsidRPr="30D7C36A">
              <w:rPr>
                <w:rFonts w:ascii="Cambria" w:hAnsi="Cambria" w:eastAsia="Times New Roman" w:cs="Times New Roman"/>
                <w:sz w:val="20"/>
                <w:szCs w:val="20"/>
                <w:lang w:eastAsia="zh-CN"/>
              </w:rPr>
              <w:t>31</w:t>
            </w:r>
          </w:p>
        </w:tc>
      </w:tr>
      <w:tr w:rsidRPr="00972DAD" w:rsidR="00117B5A" w:rsidTr="30D7C36A" w14:paraId="19B76104" w14:textId="77777777">
        <w:trPr>
          <w:trHeight w:val="300"/>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30D7C36A" w14:paraId="004325F9" w14:textId="77777777">
        <w:trPr>
          <w:trHeight w:val="300"/>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30D7C36A" w14:paraId="078D24F4" w14:textId="77777777">
        <w:trPr>
          <w:trHeight w:val="300"/>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246007A0" w14:textId="77777777">
        <w:trPr>
          <w:trHeight w:val="300"/>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651F84AF" w14:textId="77777777">
        <w:trPr>
          <w:trHeight w:val="300"/>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0D7C36A" w14:paraId="51A2E484" w14:textId="77777777">
        <w:trPr>
          <w:trHeight w:val="300"/>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30D7C36A" w:rsidRDefault="00E815AB" w14:paraId="6EABD8A3" w14:textId="4A8A9C87">
            <w:pPr>
              <w:keepNext/>
              <w:suppressAutoHyphens/>
              <w:spacing w:after="0" w:line="240" w:lineRule="auto"/>
              <w:jc w:val="center"/>
              <w:outlineLvl w:val="1"/>
              <w:rPr>
                <w:rFonts w:ascii="Cambria" w:hAnsi="Cambria" w:eastAsia="Times New Roman" w:cs="Times New Roman"/>
                <w:b/>
                <w:bCs/>
                <w:sz w:val="20"/>
                <w:szCs w:val="20"/>
                <w:lang w:eastAsia="zh-CN"/>
              </w:rPr>
            </w:pPr>
            <w:r w:rsidRPr="30D7C36A">
              <w:rPr>
                <w:rFonts w:ascii="Cambria" w:hAnsi="Cambria" w:eastAsia="Times New Roman" w:cs="Times New Roman"/>
                <w:b/>
                <w:bCs/>
                <w:sz w:val="20"/>
                <w:szCs w:val="20"/>
                <w:lang w:eastAsia="zh-CN"/>
              </w:rPr>
              <w:t>4</w:t>
            </w:r>
            <w:r w:rsidRPr="30D7C36A" w:rsidR="3607FADF">
              <w:rPr>
                <w:rFonts w:ascii="Cambria" w:hAnsi="Cambria" w:eastAsia="Times New Roman" w:cs="Times New Roman"/>
                <w:b/>
                <w:bCs/>
                <w:sz w:val="20"/>
                <w:szCs w:val="20"/>
                <w:lang w:eastAsia="zh-CN"/>
              </w:rPr>
              <w:t>7</w:t>
            </w:r>
          </w:p>
        </w:tc>
      </w:tr>
      <w:tr w:rsidRPr="00972DAD" w:rsidR="004D2236" w:rsidTr="30D7C36A" w14:paraId="03E74F97" w14:textId="77777777">
        <w:trPr>
          <w:trHeight w:val="300"/>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30D7C36A" w:rsidRDefault="00E815AB" w14:paraId="686BA008" w14:textId="4320275D">
            <w:pPr>
              <w:keepNext/>
              <w:suppressAutoHyphens/>
              <w:spacing w:after="0" w:line="240" w:lineRule="auto"/>
              <w:jc w:val="center"/>
              <w:outlineLvl w:val="1"/>
              <w:rPr>
                <w:rFonts w:ascii="Cambria" w:hAnsi="Cambria" w:eastAsia="Times New Roman" w:cs="Times New Roman"/>
                <w:b/>
                <w:bCs/>
                <w:sz w:val="20"/>
                <w:szCs w:val="20"/>
                <w:lang w:eastAsia="zh-CN"/>
              </w:rPr>
            </w:pPr>
            <w:r w:rsidRPr="30D7C36A">
              <w:rPr>
                <w:rFonts w:ascii="Cambria" w:hAnsi="Cambria" w:eastAsia="Times New Roman" w:cs="Times New Roman"/>
                <w:b/>
                <w:bCs/>
                <w:sz w:val="20"/>
                <w:szCs w:val="20"/>
                <w:lang w:eastAsia="zh-CN"/>
              </w:rPr>
              <w:t>7</w:t>
            </w:r>
            <w:r w:rsidRPr="30D7C36A" w:rsidR="0217099D">
              <w:rPr>
                <w:rFonts w:ascii="Cambria" w:hAnsi="Cambria" w:eastAsia="Times New Roman" w:cs="Times New Roman"/>
                <w:b/>
                <w:bCs/>
                <w:sz w:val="20"/>
                <w:szCs w:val="20"/>
                <w:lang w:eastAsia="zh-CN"/>
              </w:rPr>
              <w:t>5</w:t>
            </w:r>
          </w:p>
        </w:tc>
      </w:tr>
      <w:tr w:rsidRPr="00972DAD" w:rsidR="004D2236" w:rsidTr="30D7C36A" w14:paraId="29D10D32" w14:textId="77777777">
        <w:trPr>
          <w:trHeight w:val="300"/>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30D7C36A" w14:paraId="79590327" w14:textId="77777777">
        <w:trPr>
          <w:trHeight w:val="300"/>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30D7C36A" w:rsidRDefault="7EECFB6F" w14:paraId="1BC89717" w14:textId="2183C5EF">
            <w:pPr>
              <w:suppressAutoHyphens/>
              <w:spacing w:after="0" w:line="240" w:lineRule="auto"/>
              <w:ind w:left="72"/>
              <w:rPr>
                <w:rFonts w:ascii="Cambria" w:hAnsi="Cambria" w:eastAsia="Times New Roman" w:cs="Times New Roman"/>
                <w:color w:val="FF0000"/>
                <w:sz w:val="20"/>
                <w:szCs w:val="20"/>
                <w:lang w:eastAsia="zh-CN"/>
              </w:rPr>
            </w:pPr>
            <w:r w:rsidRPr="30D7C36A">
              <w:rPr>
                <w:rFonts w:ascii="Cambria" w:hAnsi="Cambria" w:eastAsia="Times New Roman" w:cs="Times New Roman"/>
                <w:color w:val="FF0000"/>
                <w:sz w:val="20"/>
                <w:szCs w:val="20"/>
                <w:lang w:eastAsia="zh-CN"/>
              </w:rPr>
              <w:t>-</w:t>
            </w:r>
          </w:p>
        </w:tc>
      </w:tr>
      <w:tr w:rsidRPr="00972DAD" w:rsidR="00221B6D" w:rsidTr="30D7C36A" w14:paraId="4F603DEB" w14:textId="77777777">
        <w:trPr>
          <w:trHeight w:val="300"/>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30D7C36A" w:rsidRDefault="0E72CA17" w14:paraId="74C547CB" w14:textId="70725324">
            <w:pPr>
              <w:suppressAutoHyphens/>
              <w:spacing w:after="0" w:line="240" w:lineRule="auto"/>
              <w:ind w:left="72"/>
              <w:rPr>
                <w:rFonts w:ascii="Cambria" w:hAnsi="Cambria" w:eastAsia="Times New Roman" w:cs="Times New Roman"/>
                <w:sz w:val="20"/>
                <w:szCs w:val="20"/>
                <w:lang w:eastAsia="zh-CN"/>
              </w:rPr>
            </w:pPr>
            <w:r w:rsidRPr="30D7C36A">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30D7C36A" w14:paraId="23125FAA" w14:textId="77777777">
        <w:trPr>
          <w:trHeight w:val="300"/>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30D7C36A" w:rsidRDefault="657346C9" w14:paraId="2D9AB4AF" w14:textId="443358E7">
            <w:pPr>
              <w:suppressAutoHyphens/>
              <w:spacing w:after="0" w:line="240" w:lineRule="auto"/>
              <w:rPr>
                <w:rFonts w:ascii="Cambria" w:hAnsi="Cambria" w:eastAsia="Times New Roman" w:cs="Times New Roman"/>
                <w:sz w:val="20"/>
                <w:szCs w:val="20"/>
                <w:lang w:val="it-IT" w:eastAsia="zh-CN"/>
              </w:rPr>
            </w:pPr>
            <w:r w:rsidRPr="30D7C36A">
              <w:rPr>
                <w:rFonts w:ascii="Cambria" w:hAnsi="Cambria" w:eastAsia="Times New Roman" w:cs="Times New Roman"/>
                <w:sz w:val="20"/>
                <w:szCs w:val="20"/>
                <w:lang w:val="it-IT" w:eastAsia="zh-CN"/>
              </w:rPr>
              <w:t>-</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48E433DB" w14:paraId="691B4F18" w14:textId="77777777">
        <w:trPr>
          <w:cantSplit/>
          <w:trHeight w:val="300"/>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796905" w:rsidP="00796905" w:rsidRDefault="00796905" w14:paraId="1F733097" w14:textId="087AC8EF">
            <w:pPr>
              <w:pStyle w:val="Default"/>
              <w:rPr>
                <w:sz w:val="20"/>
                <w:szCs w:val="20"/>
              </w:rPr>
            </w:pPr>
          </w:p>
          <w:p w:rsidR="040052B8" w:rsidP="48E433DB" w:rsidRDefault="040052B8" w14:paraId="6503025A" w14:textId="42B966D2">
            <w:pPr>
              <w:pStyle w:val="Default"/>
              <w:rPr>
                <w:sz w:val="20"/>
                <w:szCs w:val="20"/>
              </w:rPr>
            </w:pPr>
            <w:r w:rsidRPr="48E433DB">
              <w:rPr>
                <w:sz w:val="20"/>
                <w:szCs w:val="20"/>
              </w:rPr>
              <w:t xml:space="preserve">- Diagnoza mediului organizațional </w:t>
            </w:r>
          </w:p>
          <w:p w:rsidR="040052B8" w:rsidP="48E433DB" w:rsidRDefault="040052B8" w14:paraId="3884B688" w14:textId="39939E2D">
            <w:pPr>
              <w:pStyle w:val="Default"/>
              <w:rPr>
                <w:sz w:val="20"/>
                <w:szCs w:val="20"/>
              </w:rPr>
            </w:pPr>
            <w:r w:rsidRPr="48E433DB">
              <w:rPr>
                <w:sz w:val="20"/>
                <w:szCs w:val="20"/>
              </w:rPr>
              <w:t xml:space="preserve"> </w:t>
            </w:r>
          </w:p>
          <w:p w:rsidR="040052B8" w:rsidP="48E433DB" w:rsidRDefault="040052B8" w14:paraId="414C24E7" w14:textId="6F8685B9">
            <w:pPr>
              <w:pStyle w:val="Default"/>
              <w:rPr>
                <w:sz w:val="20"/>
                <w:szCs w:val="20"/>
              </w:rPr>
            </w:pPr>
            <w:r w:rsidRPr="48E433DB">
              <w:rPr>
                <w:sz w:val="20"/>
                <w:szCs w:val="20"/>
              </w:rPr>
              <w:t xml:space="preserve">- Utilizarea adecvată a perspectivei sociologice aplicate </w:t>
            </w:r>
          </w:p>
          <w:p w:rsidR="040052B8" w:rsidP="48E433DB" w:rsidRDefault="040052B8" w14:paraId="75E05CE7" w14:textId="68D4873B">
            <w:pPr>
              <w:pStyle w:val="Default"/>
              <w:rPr>
                <w:sz w:val="20"/>
                <w:szCs w:val="20"/>
              </w:rPr>
            </w:pPr>
            <w:r w:rsidRPr="48E433DB">
              <w:rPr>
                <w:sz w:val="20"/>
                <w:szCs w:val="20"/>
              </w:rPr>
              <w:t xml:space="preserve"> </w:t>
            </w:r>
          </w:p>
          <w:p w:rsidR="040052B8" w:rsidP="48E433DB" w:rsidRDefault="040052B8" w14:paraId="326C8494" w14:textId="2E136B0E">
            <w:pPr>
              <w:pStyle w:val="Default"/>
              <w:rPr>
                <w:sz w:val="20"/>
                <w:szCs w:val="20"/>
              </w:rPr>
            </w:pPr>
            <w:r w:rsidRPr="48E433DB">
              <w:rPr>
                <w:sz w:val="20"/>
                <w:szCs w:val="20"/>
              </w:rPr>
              <w:t xml:space="preserve">- Identificarea nevoilor de dezvoltare a resurselor umane din organizație prin aplicarea de metode specifice </w:t>
            </w:r>
          </w:p>
          <w:p w:rsidR="040052B8" w:rsidP="48E433DB" w:rsidRDefault="040052B8" w14:paraId="0F1A71C7" w14:textId="1EC8590F">
            <w:pPr>
              <w:pStyle w:val="Default"/>
              <w:rPr>
                <w:sz w:val="20"/>
                <w:szCs w:val="20"/>
              </w:rPr>
            </w:pPr>
            <w:r w:rsidRPr="48E433DB">
              <w:rPr>
                <w:sz w:val="20"/>
                <w:szCs w:val="20"/>
              </w:rPr>
              <w:t xml:space="preserve"> </w:t>
            </w:r>
          </w:p>
          <w:p w:rsidR="040052B8" w:rsidP="48E433DB" w:rsidRDefault="040052B8" w14:paraId="4602345D" w14:textId="3AF5A6A1">
            <w:pPr>
              <w:pStyle w:val="Default"/>
              <w:rPr>
                <w:sz w:val="20"/>
                <w:szCs w:val="20"/>
              </w:rPr>
            </w:pPr>
            <w:r w:rsidRPr="48E433DB">
              <w:rPr>
                <w:sz w:val="20"/>
                <w:szCs w:val="20"/>
              </w:rPr>
              <w:t>- Analiza interacțiunii resurselor umane</w:t>
            </w:r>
          </w:p>
          <w:p w:rsidR="48E433DB" w:rsidP="48E433DB" w:rsidRDefault="48E433DB" w14:paraId="7E487E64" w14:textId="719FA45D">
            <w:pPr>
              <w:pStyle w:val="Default"/>
              <w:rPr>
                <w:sz w:val="20"/>
                <w:szCs w:val="20"/>
                <w:highlight w:val="yellow"/>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48E433DB" w14:paraId="1F728DFD" w14:textId="77777777">
        <w:trPr>
          <w:cantSplit/>
          <w:trHeight w:val="300"/>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30D7C36A" w14:paraId="70D4DA02" w14:textId="77777777">
        <w:trPr>
          <w:cantSplit/>
          <w:trHeight w:val="300"/>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Pr="00694E26" w:rsidR="0083358D" w:rsidP="48E433DB" w:rsidRDefault="00F66FE6" w14:paraId="7F90CB51" w14:textId="591D8973">
            <w:pPr>
              <w:spacing w:after="0" w:line="240" w:lineRule="auto"/>
              <w:rPr>
                <w:rFonts w:ascii="Cambria" w:hAnsi="Cambria" w:eastAsia="Cambria" w:cs="Cambria"/>
                <w:sz w:val="20"/>
                <w:szCs w:val="20"/>
              </w:rPr>
            </w:pPr>
            <w:r w:rsidRPr="00F66FE6">
              <w:rPr>
                <w:rFonts w:ascii="Cambria" w:hAnsi="Cambria" w:eastAsia="Cambria" w:cs="Cambria"/>
                <w:sz w:val="20"/>
                <w:szCs w:val="20"/>
              </w:rPr>
              <w:t>Dezvoltarea competențelor studenților de a înțelege, proiecta și aplica procese integrate de învățare și dezvoltare a resurselor umane, prin utilizarea instrumentelor moderne de management al talentelor, leadership, cultură organizațională, motivare și analiză de date, în vederea susținerii performanței organizaționale și a dezvoltării sustenabile a capitalului uman.</w:t>
            </w:r>
          </w:p>
        </w:tc>
      </w:tr>
      <w:tr w:rsidRPr="000B7D0D" w:rsidR="0083358D" w:rsidTr="30D7C36A" w14:paraId="36D1494C" w14:textId="77777777">
        <w:trPr>
          <w:cantSplit/>
          <w:trHeight w:val="300"/>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rsidRPr="00C27291" w:rsidR="00C27291" w:rsidP="00C27291" w:rsidRDefault="00C27291" w14:paraId="1276CEFA" w14:textId="77777777">
            <w:pPr>
              <w:pStyle w:val="ListParagraph"/>
              <w:numPr>
                <w:ilvl w:val="0"/>
                <w:numId w:val="3"/>
              </w:numPr>
              <w:spacing w:after="0"/>
              <w:rPr>
                <w:rFonts w:ascii="Cambria" w:hAnsi="Cambria" w:eastAsia="Cambria" w:cs="Cambria"/>
                <w:sz w:val="20"/>
                <w:szCs w:val="20"/>
              </w:rPr>
            </w:pPr>
            <w:r w:rsidRPr="00C27291">
              <w:rPr>
                <w:rFonts w:ascii="Cambria" w:hAnsi="Cambria" w:eastAsia="Cambria" w:cs="Cambria"/>
                <w:sz w:val="20"/>
                <w:szCs w:val="20"/>
              </w:rPr>
              <w:t xml:space="preserve">Să analizeze procesele de identificare, atragere și retenție a talentelor, inclusiv rolul </w:t>
            </w:r>
            <w:proofErr w:type="spellStart"/>
            <w:r w:rsidRPr="00C27291">
              <w:rPr>
                <w:rFonts w:ascii="Cambria" w:hAnsi="Cambria" w:eastAsia="Cambria" w:cs="Cambria"/>
                <w:sz w:val="20"/>
                <w:szCs w:val="20"/>
              </w:rPr>
              <w:t>employer</w:t>
            </w:r>
            <w:proofErr w:type="spellEnd"/>
            <w:r w:rsidRPr="00C27291">
              <w:rPr>
                <w:rFonts w:ascii="Cambria" w:hAnsi="Cambria" w:eastAsia="Cambria" w:cs="Cambria"/>
                <w:sz w:val="20"/>
                <w:szCs w:val="20"/>
              </w:rPr>
              <w:t xml:space="preserve"> </w:t>
            </w:r>
            <w:proofErr w:type="spellStart"/>
            <w:r w:rsidRPr="00C27291">
              <w:rPr>
                <w:rFonts w:ascii="Cambria" w:hAnsi="Cambria" w:eastAsia="Cambria" w:cs="Cambria"/>
                <w:sz w:val="20"/>
                <w:szCs w:val="20"/>
              </w:rPr>
              <w:t>branding</w:t>
            </w:r>
            <w:proofErr w:type="spellEnd"/>
            <w:r w:rsidRPr="00C27291">
              <w:rPr>
                <w:rFonts w:ascii="Cambria" w:hAnsi="Cambria" w:eastAsia="Cambria" w:cs="Cambria"/>
                <w:sz w:val="20"/>
                <w:szCs w:val="20"/>
              </w:rPr>
              <w:t>-ului și al strategiilor moderne de recrutare.</w:t>
            </w:r>
          </w:p>
          <w:p w:rsidRPr="00C27291" w:rsidR="00C27291" w:rsidP="00C27291" w:rsidRDefault="00C27291" w14:paraId="59384F42" w14:textId="77777777">
            <w:pPr>
              <w:pStyle w:val="ListParagraph"/>
              <w:numPr>
                <w:ilvl w:val="0"/>
                <w:numId w:val="3"/>
              </w:numPr>
              <w:spacing w:after="0"/>
              <w:rPr>
                <w:rFonts w:ascii="Cambria" w:hAnsi="Cambria" w:eastAsia="Cambria" w:cs="Cambria"/>
                <w:sz w:val="20"/>
                <w:szCs w:val="20"/>
              </w:rPr>
            </w:pPr>
            <w:r w:rsidRPr="00C27291">
              <w:rPr>
                <w:rFonts w:ascii="Cambria" w:hAnsi="Cambria" w:eastAsia="Cambria" w:cs="Cambria"/>
                <w:sz w:val="20"/>
                <w:szCs w:val="20"/>
              </w:rPr>
              <w:t>Să evalueze influența culturii organizaționale și a leadership-ului asupra dezvoltării, motivației și performanței angajaților.</w:t>
            </w:r>
          </w:p>
          <w:p w:rsidRPr="00C27291" w:rsidR="00C27291" w:rsidP="00C27291" w:rsidRDefault="00C27291" w14:paraId="655BB8B2" w14:textId="77777777">
            <w:pPr>
              <w:pStyle w:val="ListParagraph"/>
              <w:numPr>
                <w:ilvl w:val="0"/>
                <w:numId w:val="3"/>
              </w:numPr>
              <w:spacing w:after="0"/>
              <w:rPr>
                <w:rFonts w:ascii="Cambria" w:hAnsi="Cambria" w:eastAsia="Cambria" w:cs="Cambria"/>
                <w:sz w:val="20"/>
                <w:szCs w:val="20"/>
              </w:rPr>
            </w:pPr>
            <w:r w:rsidRPr="00C27291">
              <w:rPr>
                <w:rFonts w:ascii="Cambria" w:hAnsi="Cambria" w:eastAsia="Cambria" w:cs="Cambria"/>
                <w:sz w:val="20"/>
                <w:szCs w:val="20"/>
              </w:rPr>
              <w:t>Să aplice concepte și instrumente de management al performanței și dezvoltării angajaților, incluzând feedback, evaluare și învățare continuă.</w:t>
            </w:r>
          </w:p>
          <w:p w:rsidRPr="00C27291" w:rsidR="00C27291" w:rsidP="00C27291" w:rsidRDefault="00C27291" w14:paraId="6DEFE1DB" w14:textId="77777777">
            <w:pPr>
              <w:pStyle w:val="ListParagraph"/>
              <w:numPr>
                <w:ilvl w:val="0"/>
                <w:numId w:val="3"/>
              </w:numPr>
              <w:spacing w:after="0"/>
              <w:rPr>
                <w:rFonts w:ascii="Cambria" w:hAnsi="Cambria" w:eastAsia="Cambria" w:cs="Cambria"/>
                <w:sz w:val="20"/>
                <w:szCs w:val="20"/>
              </w:rPr>
            </w:pPr>
            <w:r w:rsidRPr="00C27291">
              <w:rPr>
                <w:rFonts w:ascii="Cambria" w:hAnsi="Cambria" w:eastAsia="Cambria" w:cs="Cambria"/>
                <w:sz w:val="20"/>
                <w:szCs w:val="20"/>
              </w:rPr>
              <w:t>Să analizeze rolul strategic al funcției de HR ca actor de leadership organizațional, inclusiv modelul „</w:t>
            </w:r>
            <w:proofErr w:type="spellStart"/>
            <w:r w:rsidRPr="00C27291">
              <w:rPr>
                <w:rFonts w:ascii="Cambria" w:hAnsi="Cambria" w:eastAsia="Cambria" w:cs="Cambria"/>
                <w:sz w:val="20"/>
                <w:szCs w:val="20"/>
              </w:rPr>
              <w:t>well-rounded</w:t>
            </w:r>
            <w:proofErr w:type="spellEnd"/>
            <w:r w:rsidRPr="00C27291">
              <w:rPr>
                <w:rFonts w:ascii="Cambria" w:hAnsi="Cambria" w:eastAsia="Cambria" w:cs="Cambria"/>
                <w:sz w:val="20"/>
                <w:szCs w:val="20"/>
              </w:rPr>
              <w:t xml:space="preserve"> HR” și mecanismele de motivare și retenție.</w:t>
            </w:r>
          </w:p>
          <w:p w:rsidRPr="00694E26" w:rsidR="0083358D" w:rsidP="00C27291" w:rsidRDefault="00C27291" w14:paraId="49C8C8EF" w14:textId="0EA33F1C">
            <w:pPr>
              <w:pStyle w:val="ListParagraph"/>
              <w:numPr>
                <w:ilvl w:val="0"/>
                <w:numId w:val="3"/>
              </w:numPr>
              <w:spacing w:after="0"/>
              <w:rPr>
                <w:rFonts w:ascii="Cambria" w:hAnsi="Cambria" w:eastAsia="Cambria" w:cs="Cambria"/>
                <w:sz w:val="20"/>
                <w:szCs w:val="20"/>
              </w:rPr>
            </w:pPr>
            <w:r w:rsidRPr="00C27291">
              <w:rPr>
                <w:rFonts w:ascii="Cambria" w:hAnsi="Cambria" w:eastAsia="Cambria" w:cs="Cambria"/>
                <w:sz w:val="20"/>
                <w:szCs w:val="20"/>
              </w:rPr>
              <w:t xml:space="preserve">Să utilizeze concepte de HR </w:t>
            </w:r>
            <w:proofErr w:type="spellStart"/>
            <w:r w:rsidRPr="00C27291">
              <w:rPr>
                <w:rFonts w:ascii="Cambria" w:hAnsi="Cambria" w:eastAsia="Cambria" w:cs="Cambria"/>
                <w:sz w:val="20"/>
                <w:szCs w:val="20"/>
              </w:rPr>
              <w:t>Analytics</w:t>
            </w:r>
            <w:proofErr w:type="spellEnd"/>
            <w:r w:rsidRPr="00C27291">
              <w:rPr>
                <w:rFonts w:ascii="Cambria" w:hAnsi="Cambria" w:eastAsia="Cambria" w:cs="Cambria"/>
                <w:sz w:val="20"/>
                <w:szCs w:val="20"/>
              </w:rPr>
              <w:t xml:space="preserve"> și principiile diversității, incluziunii și echității (DEI) pentru fundamentarea deciziilor privind dezvoltarea și managementul talentelor.</w:t>
            </w:r>
          </w:p>
        </w:tc>
      </w:tr>
    </w:tbl>
    <w:p w:rsidR="00260F93" w:rsidP="002A3A93" w:rsidRDefault="00260F93" w14:paraId="04F1088D" w14:textId="77777777">
      <w:pPr>
        <w:spacing w:after="0"/>
        <w:ind w:hanging="426"/>
        <w:rPr>
          <w:rFonts w:ascii="Cambria" w:hAnsi="Cambria"/>
          <w:b/>
          <w:bCs/>
          <w:sz w:val="20"/>
          <w:szCs w:val="20"/>
        </w:rPr>
      </w:pPr>
    </w:p>
    <w:p w:rsidR="00996E5F" w:rsidP="002A3A93" w:rsidRDefault="002A3A93" w14:paraId="550C8D78" w14:textId="2336B601">
      <w:pPr>
        <w:spacing w:after="0"/>
        <w:ind w:hanging="426"/>
        <w:rPr>
          <w:rFonts w:ascii="Cambria" w:hAnsi="Cambria"/>
          <w:b/>
          <w:sz w:val="20"/>
          <w:szCs w:val="20"/>
        </w:rPr>
      </w:pPr>
      <w:r w:rsidRPr="48E433DB">
        <w:rPr>
          <w:rFonts w:ascii="Cambria" w:hAnsi="Cambria"/>
          <w:b/>
          <w:bCs/>
          <w:sz w:val="20"/>
          <w:szCs w:val="20"/>
        </w:rPr>
        <w:t>8</w:t>
      </w:r>
      <w:r w:rsidRPr="48E433DB" w:rsidR="0084063D">
        <w:rPr>
          <w:rFonts w:ascii="Cambria" w:hAnsi="Cambria"/>
          <w:b/>
          <w:bCs/>
          <w:sz w:val="20"/>
          <w:szCs w:val="20"/>
        </w:rPr>
        <w:t>. Conținuturi</w:t>
      </w:r>
    </w:p>
    <w:p w:rsidR="00036059" w:rsidP="48E433DB" w:rsidRDefault="00036059" w14:paraId="69DFDEBF" w14:textId="0E289C85">
      <w:pPr>
        <w:spacing w:after="0" w:line="240" w:lineRule="auto"/>
        <w:ind w:hanging="426"/>
        <w:rPr>
          <w:rFonts w:ascii="Cambria" w:hAnsi="Cambria"/>
          <w:b/>
          <w:bCs/>
          <w:sz w:val="20"/>
          <w:szCs w:val="20"/>
        </w:rPr>
      </w:pPr>
    </w:p>
    <w:tbl>
      <w:tblPr>
        <w:tblW w:w="10491" w:type="dxa"/>
        <w:tblInd w:w="-435" w:type="dxa"/>
        <w:tblLayout w:type="fixed"/>
        <w:tblLook w:val="01E0" w:firstRow="1" w:lastRow="1" w:firstColumn="1" w:lastColumn="1" w:noHBand="0" w:noVBand="0"/>
      </w:tblPr>
      <w:tblGrid>
        <w:gridCol w:w="4395"/>
        <w:gridCol w:w="3119"/>
        <w:gridCol w:w="2977"/>
      </w:tblGrid>
      <w:tr w:rsidR="48E433DB" w:rsidTr="00014B4E" w14:paraId="1BC0BDBB"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6F638A23" w14:textId="53BAFAA0">
            <w:pPr>
              <w:spacing w:after="0"/>
            </w:pPr>
            <w:r w:rsidRPr="48E433DB">
              <w:rPr>
                <w:rFonts w:ascii="Cambria" w:hAnsi="Cambria" w:eastAsia="Cambria" w:cs="Cambria"/>
                <w:sz w:val="20"/>
                <w:szCs w:val="20"/>
                <w:lang w:val="ro"/>
              </w:rPr>
              <w:t>8.1 Curs</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4BF03398" w14:textId="214477A8">
            <w:pPr>
              <w:spacing w:after="0"/>
            </w:pPr>
            <w:r w:rsidRPr="48E433DB">
              <w:rPr>
                <w:rFonts w:ascii="Cambria" w:hAnsi="Cambria" w:eastAsia="Cambria" w:cs="Cambria"/>
                <w:sz w:val="20"/>
                <w:szCs w:val="20"/>
                <w:lang w:val="ro"/>
              </w:rPr>
              <w:t>Metode de predare</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63F69F73" w14:textId="01760F24">
            <w:pPr>
              <w:spacing w:after="0"/>
            </w:pPr>
            <w:r w:rsidRPr="48E433DB">
              <w:rPr>
                <w:rFonts w:ascii="Cambria" w:hAnsi="Cambria" w:eastAsia="Cambria" w:cs="Cambria"/>
                <w:sz w:val="20"/>
                <w:szCs w:val="20"/>
                <w:lang w:val="ro"/>
              </w:rPr>
              <w:t>Observații</w:t>
            </w:r>
          </w:p>
        </w:tc>
      </w:tr>
      <w:tr w:rsidR="48E433DB" w:rsidTr="00014B4E" w14:paraId="486AC417"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00FE579A" w14:paraId="6EACC579" w14:textId="455BBB70">
            <w:pPr>
              <w:pStyle w:val="ListParagraph"/>
              <w:numPr>
                <w:ilvl w:val="0"/>
                <w:numId w:val="1"/>
              </w:numPr>
              <w:spacing w:after="0"/>
              <w:rPr>
                <w:rFonts w:ascii="Cambria" w:hAnsi="Cambria" w:eastAsia="Cambria" w:cs="Cambria"/>
                <w:sz w:val="20"/>
                <w:szCs w:val="20"/>
                <w:lang w:val="ro"/>
              </w:rPr>
            </w:pPr>
            <w:r w:rsidRPr="00FE579A">
              <w:rPr>
                <w:rFonts w:ascii="Cambria" w:hAnsi="Cambria" w:eastAsia="Cambria" w:cs="Cambria"/>
                <w:sz w:val="20"/>
                <w:szCs w:val="20"/>
                <w:lang w:val="ro"/>
              </w:rPr>
              <w:t>Introducere</w:t>
            </w:r>
            <w:r>
              <w:rPr>
                <w:rFonts w:ascii="Cambria" w:hAnsi="Cambria" w:eastAsia="Cambria" w:cs="Cambria"/>
                <w:sz w:val="20"/>
                <w:szCs w:val="20"/>
                <w:lang w:val="ro"/>
              </w:rPr>
              <w:t xml:space="preserve"> </w:t>
            </w:r>
            <w:r w:rsidR="0051110E">
              <w:rPr>
                <w:rFonts w:ascii="Cambria" w:hAnsi="Cambria" w:eastAsia="Cambria" w:cs="Cambria"/>
                <w:sz w:val="20"/>
                <w:szCs w:val="20"/>
              </w:rPr>
              <w:t>în disciplină</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3E1C7505" w14:paraId="1BE4E67E" w14:textId="694F14B4">
            <w:pPr>
              <w:spacing w:after="0"/>
              <w:rPr>
                <w:rFonts w:ascii="Cambria" w:hAnsi="Cambria" w:eastAsia="Cambria" w:cs="Cambria"/>
                <w:sz w:val="20"/>
                <w:szCs w:val="20"/>
                <w:lang w:val="ro"/>
              </w:rPr>
            </w:pPr>
            <w:r w:rsidRPr="30D7C36A">
              <w:rPr>
                <w:rFonts w:ascii="Cambria" w:hAnsi="Cambria" w:eastAsia="Cambria" w:cs="Cambria"/>
                <w:sz w:val="20"/>
                <w:szCs w:val="20"/>
                <w:lang w:val="ro"/>
              </w:rPr>
              <w:t>Prezentare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48E433DB" w14:paraId="003F3DFD" w14:textId="25C483D8">
            <w:pPr>
              <w:spacing w:after="0"/>
              <w:rPr>
                <w:rFonts w:ascii="Cambria" w:hAnsi="Cambria" w:eastAsia="Cambria" w:cs="Cambria"/>
                <w:sz w:val="20"/>
                <w:szCs w:val="20"/>
                <w:lang w:val="ro"/>
              </w:rPr>
            </w:pPr>
          </w:p>
        </w:tc>
      </w:tr>
      <w:tr w:rsidR="48E433DB" w:rsidTr="00014B4E" w14:paraId="1FE26899"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002D3531" w14:paraId="4E7A2A64" w14:textId="676D6B1F">
            <w:pPr>
              <w:pStyle w:val="ListParagraph"/>
              <w:numPr>
                <w:ilvl w:val="0"/>
                <w:numId w:val="1"/>
              </w:numPr>
              <w:spacing w:after="0"/>
              <w:rPr>
                <w:rFonts w:ascii="Cambria" w:hAnsi="Cambria" w:eastAsia="Cambria" w:cs="Cambria"/>
                <w:sz w:val="20"/>
                <w:szCs w:val="20"/>
                <w:lang w:val="ro"/>
              </w:rPr>
            </w:pPr>
            <w:r w:rsidRPr="003825DE">
              <w:rPr>
                <w:rFonts w:ascii="Cambria" w:hAnsi="Cambria" w:eastAsia="Cambria" w:cs="Cambria"/>
                <w:sz w:val="20"/>
                <w:szCs w:val="20"/>
                <w:lang w:val="ro"/>
              </w:rPr>
              <w:t xml:space="preserve">Cultura organizațională și rolul ei în dezvoltarea </w:t>
            </w:r>
            <w:r>
              <w:rPr>
                <w:rFonts w:ascii="Cambria" w:hAnsi="Cambria" w:eastAsia="Cambria" w:cs="Cambria"/>
                <w:sz w:val="20"/>
                <w:szCs w:val="20"/>
                <w:lang w:val="ro"/>
              </w:rPr>
              <w:t>angajaților</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3E1C7505" w14:paraId="23950AFB" w14:textId="284A9EBE">
            <w:pPr>
              <w:spacing w:after="0"/>
              <w:rPr>
                <w:rFonts w:ascii="Cambria" w:hAnsi="Cambria" w:eastAsia="Cambria" w:cs="Cambria"/>
                <w:sz w:val="20"/>
                <w:szCs w:val="20"/>
                <w:lang w:val="ro"/>
              </w:rPr>
            </w:pPr>
            <w:r w:rsidRPr="30D7C36A">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30D7C36A" w:rsidRDefault="48E433DB" w14:paraId="634E8417" w14:textId="0F6D3534">
            <w:pPr>
              <w:spacing w:after="0"/>
              <w:rPr>
                <w:rFonts w:ascii="Cambria" w:hAnsi="Cambria" w:eastAsia="Cambria" w:cs="Cambria"/>
                <w:b/>
                <w:bCs/>
                <w:sz w:val="20"/>
                <w:szCs w:val="20"/>
                <w:lang w:val="ro"/>
              </w:rPr>
            </w:pPr>
          </w:p>
        </w:tc>
      </w:tr>
      <w:tr w:rsidR="00150F30" w:rsidTr="00A10202" w14:paraId="470BB821"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2D3531" w14:paraId="2C88084F" w14:textId="31534A8D">
            <w:pPr>
              <w:pStyle w:val="ListParagraph"/>
              <w:numPr>
                <w:ilvl w:val="0"/>
                <w:numId w:val="1"/>
              </w:numPr>
              <w:spacing w:after="0"/>
              <w:rPr>
                <w:rFonts w:ascii="Cambria" w:hAnsi="Cambria" w:eastAsia="Cambria" w:cs="Cambria"/>
                <w:sz w:val="20"/>
                <w:szCs w:val="20"/>
                <w:lang w:val="ro"/>
              </w:rPr>
            </w:pPr>
            <w:proofErr w:type="spellStart"/>
            <w:r>
              <w:rPr>
                <w:rFonts w:ascii="Cambria" w:hAnsi="Cambria" w:eastAsia="Cambria" w:cs="Cambria"/>
                <w:sz w:val="20"/>
                <w:szCs w:val="20"/>
                <w:lang w:val="ro"/>
              </w:rPr>
              <w:t>Learning</w:t>
            </w:r>
            <w:proofErr w:type="spellEnd"/>
            <w:r>
              <w:rPr>
                <w:rFonts w:ascii="Cambria" w:hAnsi="Cambria" w:eastAsia="Cambria" w:cs="Cambria"/>
                <w:sz w:val="20"/>
                <w:szCs w:val="20"/>
                <w:lang w:val="ro"/>
              </w:rPr>
              <w:t xml:space="preserve"> </w:t>
            </w:r>
            <w:proofErr w:type="spellStart"/>
            <w:r>
              <w:rPr>
                <w:rFonts w:ascii="Cambria" w:hAnsi="Cambria" w:eastAsia="Cambria" w:cs="Cambria"/>
                <w:sz w:val="20"/>
                <w:szCs w:val="20"/>
                <w:lang w:val="ro"/>
              </w:rPr>
              <w:t>organizations</w:t>
            </w:r>
            <w:proofErr w:type="spellEnd"/>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1DC0AFDD" w14:textId="2A305CC6">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22D0827E" w14:textId="6F2EA459">
            <w:pPr>
              <w:spacing w:after="0"/>
              <w:rPr>
                <w:rFonts w:ascii="Cambria" w:hAnsi="Cambria" w:eastAsia="Cambria" w:cs="Cambria"/>
                <w:b/>
                <w:bCs/>
                <w:sz w:val="20"/>
                <w:szCs w:val="20"/>
                <w:lang w:val="ro"/>
              </w:rPr>
            </w:pPr>
          </w:p>
        </w:tc>
      </w:tr>
      <w:tr w:rsidR="00150F30" w:rsidTr="00A10202" w14:paraId="2D2EB830"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2D3531" w14:paraId="492AD35F" w14:textId="3FFBC1B5">
            <w:pPr>
              <w:pStyle w:val="ListParagraph"/>
              <w:numPr>
                <w:ilvl w:val="0"/>
                <w:numId w:val="1"/>
              </w:numPr>
              <w:spacing w:after="0"/>
              <w:rPr>
                <w:rFonts w:ascii="Cambria" w:hAnsi="Cambria" w:eastAsia="Cambria" w:cs="Cambria"/>
                <w:sz w:val="20"/>
                <w:szCs w:val="20"/>
                <w:lang w:val="ro"/>
              </w:rPr>
            </w:pPr>
            <w:r>
              <w:rPr>
                <w:rFonts w:ascii="Cambria" w:hAnsi="Cambria" w:eastAsia="Cambria" w:cs="Cambria"/>
                <w:sz w:val="20"/>
                <w:szCs w:val="20"/>
                <w:lang w:val="ro"/>
              </w:rPr>
              <w:t>Învățare și m</w:t>
            </w:r>
            <w:r w:rsidRPr="003825DE" w:rsidR="00150F30">
              <w:rPr>
                <w:rFonts w:ascii="Cambria" w:hAnsi="Cambria" w:eastAsia="Cambria" w:cs="Cambria"/>
                <w:sz w:val="20"/>
                <w:szCs w:val="20"/>
                <w:lang w:val="ro"/>
              </w:rPr>
              <w:t>anagementul performanței</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0F32990A" w14:textId="1C63EB68">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0EFBF474" w14:textId="5B445628">
            <w:pPr>
              <w:spacing w:after="0"/>
              <w:rPr>
                <w:rFonts w:ascii="Cambria" w:hAnsi="Cambria" w:eastAsia="Cambria" w:cs="Cambria"/>
                <w:b/>
                <w:bCs/>
                <w:sz w:val="20"/>
                <w:szCs w:val="20"/>
                <w:lang w:val="ro"/>
              </w:rPr>
            </w:pPr>
          </w:p>
        </w:tc>
      </w:tr>
      <w:tr w:rsidR="00150F30" w:rsidTr="00A10202" w14:paraId="0F51E2F6"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1D31432A" w14:textId="3C52D8BE">
            <w:pPr>
              <w:pStyle w:val="ListParagraph"/>
              <w:numPr>
                <w:ilvl w:val="0"/>
                <w:numId w:val="1"/>
              </w:numPr>
              <w:spacing w:after="0"/>
              <w:rPr>
                <w:rFonts w:ascii="Cambria" w:hAnsi="Cambria" w:eastAsia="Cambria" w:cs="Cambria"/>
                <w:sz w:val="20"/>
                <w:szCs w:val="20"/>
                <w:lang w:val="ro"/>
              </w:rPr>
            </w:pPr>
            <w:r w:rsidRPr="003825DE">
              <w:rPr>
                <w:rFonts w:ascii="Cambria" w:hAnsi="Cambria" w:eastAsia="Cambria" w:cs="Cambria"/>
                <w:sz w:val="20"/>
                <w:szCs w:val="20"/>
                <w:lang w:val="ro"/>
              </w:rPr>
              <w:t>Importanța liderilor în organizații</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3395D35C" w14:textId="0AD82125">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6B24BE13" w14:textId="0D5C9E61">
            <w:pPr>
              <w:spacing w:after="0"/>
              <w:rPr>
                <w:rFonts w:ascii="Cambria" w:hAnsi="Cambria" w:eastAsia="Cambria" w:cs="Cambria"/>
                <w:b/>
                <w:bCs/>
                <w:sz w:val="20"/>
                <w:szCs w:val="20"/>
                <w:lang w:val="ro"/>
              </w:rPr>
            </w:pPr>
          </w:p>
        </w:tc>
      </w:tr>
      <w:tr w:rsidR="00150F30" w:rsidTr="00A10202" w14:paraId="120A4961"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21A7B326" w14:textId="7C7E380F">
            <w:pPr>
              <w:pStyle w:val="ListParagraph"/>
              <w:numPr>
                <w:ilvl w:val="0"/>
                <w:numId w:val="1"/>
              </w:numPr>
              <w:spacing w:after="0"/>
              <w:rPr>
                <w:rFonts w:ascii="Cambria" w:hAnsi="Cambria" w:eastAsia="Cambria" w:cs="Cambria"/>
                <w:sz w:val="20"/>
                <w:szCs w:val="20"/>
                <w:lang w:val="ro"/>
              </w:rPr>
            </w:pPr>
            <w:r w:rsidRPr="003825DE">
              <w:rPr>
                <w:rFonts w:ascii="Cambria" w:hAnsi="Cambria" w:eastAsia="Cambria" w:cs="Cambria"/>
                <w:sz w:val="20"/>
                <w:szCs w:val="20"/>
                <w:lang w:val="ro"/>
              </w:rPr>
              <w:t>Importanța liderilor în organizații</w:t>
            </w:r>
            <w:r>
              <w:rPr>
                <w:rFonts w:ascii="Cambria" w:hAnsi="Cambria" w:eastAsia="Cambria" w:cs="Cambria"/>
                <w:sz w:val="20"/>
                <w:szCs w:val="20"/>
                <w:lang w:val="ro"/>
              </w:rPr>
              <w:t>. Partea a II-a</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0058A1EF" w14:textId="207C37A6">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62A6FED4" w14:textId="0B75F7F2">
            <w:pPr>
              <w:spacing w:after="0"/>
              <w:rPr>
                <w:rFonts w:ascii="Cambria" w:hAnsi="Cambria" w:eastAsia="Cambria" w:cs="Cambria"/>
                <w:b/>
                <w:bCs/>
                <w:sz w:val="20"/>
                <w:szCs w:val="20"/>
                <w:lang w:val="ro"/>
              </w:rPr>
            </w:pPr>
          </w:p>
        </w:tc>
      </w:tr>
      <w:tr w:rsidR="00150F30" w:rsidTr="00A10202" w14:paraId="6FD644E5"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2BDB803C" w14:textId="389DF5E5">
            <w:pPr>
              <w:pStyle w:val="ListParagraph"/>
              <w:numPr>
                <w:ilvl w:val="0"/>
                <w:numId w:val="1"/>
              </w:numPr>
              <w:spacing w:after="0"/>
              <w:rPr>
                <w:rFonts w:ascii="Cambria" w:hAnsi="Cambria" w:eastAsia="Cambria" w:cs="Cambria"/>
                <w:sz w:val="20"/>
                <w:szCs w:val="20"/>
                <w:lang w:val="ro"/>
              </w:rPr>
            </w:pPr>
            <w:proofErr w:type="spellStart"/>
            <w:r w:rsidRPr="006311EE">
              <w:rPr>
                <w:rFonts w:ascii="Cambria" w:hAnsi="Cambria" w:eastAsia="Cambria" w:cs="Cambria"/>
                <w:sz w:val="20"/>
                <w:szCs w:val="20"/>
                <w:lang w:val="ro"/>
              </w:rPr>
              <w:t>HRul</w:t>
            </w:r>
            <w:proofErr w:type="spellEnd"/>
            <w:r w:rsidRPr="006311EE">
              <w:rPr>
                <w:rFonts w:ascii="Cambria" w:hAnsi="Cambria" w:eastAsia="Cambria" w:cs="Cambria"/>
                <w:sz w:val="20"/>
                <w:szCs w:val="20"/>
                <w:lang w:val="ro"/>
              </w:rPr>
              <w:t xml:space="preserve"> ca lider. </w:t>
            </w:r>
            <w:proofErr w:type="spellStart"/>
            <w:r w:rsidRPr="006311EE">
              <w:rPr>
                <w:rFonts w:ascii="Cambria" w:hAnsi="Cambria" w:eastAsia="Cambria" w:cs="Cambria"/>
                <w:sz w:val="20"/>
                <w:szCs w:val="20"/>
                <w:lang w:val="ro"/>
              </w:rPr>
              <w:t>Well-rounded</w:t>
            </w:r>
            <w:proofErr w:type="spellEnd"/>
            <w:r w:rsidRPr="006311EE">
              <w:rPr>
                <w:rFonts w:ascii="Cambria" w:hAnsi="Cambria" w:eastAsia="Cambria" w:cs="Cambria"/>
                <w:sz w:val="20"/>
                <w:szCs w:val="20"/>
                <w:lang w:val="ro"/>
              </w:rPr>
              <w:t xml:space="preserve"> HR</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63E445E1" w14:textId="586F9F6A">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3C765A79" w14:textId="776C9E4D">
            <w:pPr>
              <w:spacing w:after="0"/>
              <w:rPr>
                <w:rFonts w:ascii="Cambria" w:hAnsi="Cambria" w:eastAsia="Cambria" w:cs="Cambria"/>
                <w:b/>
                <w:bCs/>
                <w:sz w:val="20"/>
                <w:szCs w:val="20"/>
                <w:lang w:val="ro"/>
              </w:rPr>
            </w:pPr>
          </w:p>
        </w:tc>
      </w:tr>
      <w:tr w:rsidR="00150F30" w:rsidTr="00A10202" w14:paraId="27DAA4B4"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311EE" w:rsidR="00150F30" w:rsidP="00150F30" w:rsidRDefault="002D3531" w14:paraId="0F2A80A9" w14:textId="40F1ED16">
            <w:pPr>
              <w:pStyle w:val="ListParagraph"/>
              <w:numPr>
                <w:ilvl w:val="0"/>
                <w:numId w:val="1"/>
              </w:numPr>
              <w:spacing w:after="0"/>
              <w:rPr>
                <w:rFonts w:ascii="Cambria" w:hAnsi="Cambria"/>
                <w:sz w:val="20"/>
                <w:szCs w:val="20"/>
              </w:rPr>
            </w:pPr>
            <w:r>
              <w:rPr>
                <w:rFonts w:ascii="Cambria" w:hAnsi="Cambria" w:eastAsia="Cambria" w:cs="Cambria"/>
                <w:sz w:val="20"/>
                <w:szCs w:val="20"/>
                <w:lang w:val="ro"/>
              </w:rPr>
              <w:lastRenderedPageBreak/>
              <w:t xml:space="preserve">L&amp;D </w:t>
            </w:r>
            <w:proofErr w:type="spellStart"/>
            <w:r>
              <w:rPr>
                <w:rFonts w:ascii="Cambria" w:hAnsi="Cambria" w:eastAsia="Cambria" w:cs="Cambria"/>
                <w:sz w:val="20"/>
                <w:szCs w:val="20"/>
                <w:lang w:val="ro"/>
              </w:rPr>
              <w:t>Teams</w:t>
            </w:r>
            <w:proofErr w:type="spellEnd"/>
            <w:r>
              <w:rPr>
                <w:rFonts w:ascii="Cambria" w:hAnsi="Cambria" w:eastAsia="Cambria" w:cs="Cambria"/>
                <w:sz w:val="20"/>
                <w:szCs w:val="20"/>
                <w:lang w:val="ro"/>
              </w:rPr>
              <w:t xml:space="preserve"> interne sau externe</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79FEE115" w14:textId="4D43839E">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67211F45" w14:textId="12053CA1">
            <w:pPr>
              <w:spacing w:after="0"/>
              <w:rPr>
                <w:rFonts w:ascii="Cambria" w:hAnsi="Cambria" w:eastAsia="Cambria" w:cs="Cambria"/>
                <w:b/>
                <w:bCs/>
                <w:sz w:val="20"/>
                <w:szCs w:val="20"/>
                <w:lang w:val="ro"/>
              </w:rPr>
            </w:pPr>
          </w:p>
        </w:tc>
      </w:tr>
      <w:tr w:rsidR="00150F30" w:rsidTr="00A10202" w14:paraId="73195176"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3D9254CA" w14:textId="6BA3E615">
            <w:pPr>
              <w:pStyle w:val="ListParagraph"/>
              <w:numPr>
                <w:ilvl w:val="0"/>
                <w:numId w:val="1"/>
              </w:numPr>
              <w:spacing w:after="0"/>
              <w:rPr>
                <w:rFonts w:ascii="Cambria" w:hAnsi="Cambria" w:eastAsia="Cambria" w:cs="Cambria"/>
                <w:sz w:val="20"/>
                <w:szCs w:val="20"/>
                <w:lang w:val="ro"/>
              </w:rPr>
            </w:pPr>
            <w:r w:rsidRPr="006311EE">
              <w:rPr>
                <w:rFonts w:ascii="Cambria" w:hAnsi="Cambria" w:eastAsia="Cambria" w:cs="Cambria"/>
                <w:sz w:val="20"/>
                <w:szCs w:val="20"/>
                <w:lang w:val="ro"/>
              </w:rPr>
              <w:t xml:space="preserve">Motivația. Bani și beneficii în retenția </w:t>
            </w:r>
            <w:r w:rsidR="002D3531">
              <w:rPr>
                <w:rFonts w:ascii="Cambria" w:hAnsi="Cambria" w:eastAsia="Cambria" w:cs="Cambria"/>
                <w:sz w:val="20"/>
                <w:szCs w:val="20"/>
                <w:lang w:val="ro"/>
              </w:rPr>
              <w:t>angajaților</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590641BB" w14:textId="22ECD286">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30DFC70E" w14:textId="066D799E">
            <w:pPr>
              <w:spacing w:after="0"/>
              <w:rPr>
                <w:rFonts w:ascii="Cambria" w:hAnsi="Cambria" w:eastAsia="Cambria" w:cs="Cambria"/>
                <w:b/>
                <w:bCs/>
                <w:sz w:val="20"/>
                <w:szCs w:val="20"/>
                <w:lang w:val="ro"/>
              </w:rPr>
            </w:pPr>
          </w:p>
        </w:tc>
      </w:tr>
      <w:tr w:rsidR="00150F30" w:rsidTr="00A10202" w14:paraId="0B8BB8BF"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2D3531" w14:paraId="19CDCC6E" w14:textId="3798C503">
            <w:pPr>
              <w:pStyle w:val="ListParagraph"/>
              <w:numPr>
                <w:ilvl w:val="0"/>
                <w:numId w:val="1"/>
              </w:numPr>
              <w:spacing w:after="0"/>
              <w:rPr>
                <w:rFonts w:ascii="Cambria" w:hAnsi="Cambria" w:eastAsia="Cambria" w:cs="Cambria"/>
                <w:sz w:val="20"/>
                <w:szCs w:val="20"/>
                <w:lang w:val="ro"/>
              </w:rPr>
            </w:pPr>
            <w:r w:rsidRPr="0051110E">
              <w:rPr>
                <w:rFonts w:ascii="Cambria" w:hAnsi="Cambria" w:eastAsia="Cambria" w:cs="Cambria"/>
                <w:sz w:val="20"/>
                <w:szCs w:val="20"/>
                <w:lang w:val="ro"/>
              </w:rPr>
              <w:t xml:space="preserve">Identificarea și atragerea talentelor. </w:t>
            </w:r>
            <w:proofErr w:type="spellStart"/>
            <w:r w:rsidRPr="0051110E">
              <w:rPr>
                <w:rFonts w:ascii="Cambria" w:hAnsi="Cambria" w:eastAsia="Cambria" w:cs="Cambria"/>
                <w:sz w:val="20"/>
                <w:szCs w:val="20"/>
                <w:lang w:val="ro"/>
              </w:rPr>
              <w:t>Employer</w:t>
            </w:r>
            <w:proofErr w:type="spellEnd"/>
            <w:r w:rsidRPr="0051110E">
              <w:rPr>
                <w:rFonts w:ascii="Cambria" w:hAnsi="Cambria" w:eastAsia="Cambria" w:cs="Cambria"/>
                <w:sz w:val="20"/>
                <w:szCs w:val="20"/>
                <w:lang w:val="ro"/>
              </w:rPr>
              <w:t xml:space="preserve"> </w:t>
            </w:r>
            <w:proofErr w:type="spellStart"/>
            <w:r w:rsidRPr="0051110E">
              <w:rPr>
                <w:rFonts w:ascii="Cambria" w:hAnsi="Cambria" w:eastAsia="Cambria" w:cs="Cambria"/>
                <w:sz w:val="20"/>
                <w:szCs w:val="20"/>
                <w:lang w:val="ro"/>
              </w:rPr>
              <w:t>Branding</w:t>
            </w:r>
            <w:proofErr w:type="spellEnd"/>
            <w:r w:rsidRPr="0051110E">
              <w:rPr>
                <w:rFonts w:ascii="Cambria" w:hAnsi="Cambria" w:eastAsia="Cambria" w:cs="Cambria"/>
                <w:sz w:val="20"/>
                <w:szCs w:val="20"/>
                <w:lang w:val="ro"/>
              </w:rPr>
              <w:t xml:space="preserve"> și recrutare</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21600A12" w14:textId="72551BE5">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16F13AE8" w14:textId="42E560A4">
            <w:pPr>
              <w:spacing w:after="0"/>
              <w:rPr>
                <w:rFonts w:ascii="Cambria" w:hAnsi="Cambria" w:eastAsia="Cambria" w:cs="Cambria"/>
                <w:b/>
                <w:bCs/>
                <w:sz w:val="20"/>
                <w:szCs w:val="20"/>
                <w:lang w:val="ro"/>
              </w:rPr>
            </w:pPr>
          </w:p>
        </w:tc>
      </w:tr>
      <w:tr w:rsidR="00150F30" w:rsidTr="00A10202" w14:paraId="40005071"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6738B9DF" w14:textId="20768D4B">
            <w:pPr>
              <w:pStyle w:val="ListParagraph"/>
              <w:numPr>
                <w:ilvl w:val="0"/>
                <w:numId w:val="1"/>
              </w:numPr>
              <w:spacing w:after="0"/>
              <w:rPr>
                <w:rFonts w:ascii="Cambria" w:hAnsi="Cambria" w:eastAsia="Cambria" w:cs="Cambria"/>
                <w:sz w:val="20"/>
                <w:szCs w:val="20"/>
                <w:lang w:val="ro"/>
              </w:rPr>
            </w:pPr>
            <w:r w:rsidRPr="00014B4E">
              <w:rPr>
                <w:rFonts w:ascii="Cambria" w:hAnsi="Cambria" w:eastAsia="Cambria" w:cs="Cambria"/>
                <w:sz w:val="20"/>
                <w:szCs w:val="20"/>
                <w:lang w:val="ro"/>
              </w:rPr>
              <w:t xml:space="preserve">HR </w:t>
            </w:r>
            <w:proofErr w:type="spellStart"/>
            <w:r w:rsidRPr="00014B4E">
              <w:rPr>
                <w:rFonts w:ascii="Cambria" w:hAnsi="Cambria" w:eastAsia="Cambria" w:cs="Cambria"/>
                <w:sz w:val="20"/>
                <w:szCs w:val="20"/>
                <w:lang w:val="ro"/>
              </w:rPr>
              <w:t>Analytics</w:t>
            </w:r>
            <w:proofErr w:type="spellEnd"/>
            <w:r w:rsidRPr="00014B4E">
              <w:rPr>
                <w:rFonts w:ascii="Cambria" w:hAnsi="Cambria" w:eastAsia="Cambria" w:cs="Cambria"/>
                <w:sz w:val="20"/>
                <w:szCs w:val="20"/>
                <w:lang w:val="ro"/>
              </w:rPr>
              <w:t xml:space="preserve">. Tehnologia și Analiza Datelor în </w:t>
            </w:r>
            <w:r w:rsidR="002D3531">
              <w:rPr>
                <w:rFonts w:ascii="Cambria" w:hAnsi="Cambria" w:eastAsia="Cambria" w:cs="Cambria"/>
                <w:sz w:val="20"/>
                <w:szCs w:val="20"/>
                <w:lang w:val="ro"/>
              </w:rPr>
              <w:t>dezvoltarea angajaților</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tcPr>
          <w:p w:rsidR="00150F30" w:rsidP="00150F30" w:rsidRDefault="00150F30" w14:paraId="53BD9C4E" w14:textId="461C0964">
            <w:pPr>
              <w:spacing w:after="0"/>
              <w:rPr>
                <w:rFonts w:ascii="Cambria" w:hAnsi="Cambria" w:eastAsia="Cambria" w:cs="Cambria"/>
                <w:sz w:val="20"/>
                <w:szCs w:val="20"/>
                <w:lang w:val="ro"/>
              </w:rPr>
            </w:pPr>
            <w:r w:rsidRPr="00AC5013">
              <w:rPr>
                <w:rFonts w:ascii="Cambria" w:hAnsi="Cambria" w:eastAsia="Cambria" w:cs="Cambria"/>
                <w:sz w:val="20"/>
                <w:szCs w:val="20"/>
                <w:lang w:val="ro"/>
              </w:rPr>
              <w:t>Prelegere si Q&amp;A</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150F30" w:rsidP="00150F30" w:rsidRDefault="00150F30" w14:paraId="5D85BE47" w14:textId="35EE46D1">
            <w:pPr>
              <w:spacing w:after="0"/>
              <w:rPr>
                <w:rFonts w:ascii="Cambria" w:hAnsi="Cambria" w:eastAsia="Cambria" w:cs="Cambria"/>
                <w:sz w:val="20"/>
                <w:szCs w:val="20"/>
                <w:lang w:val="ro"/>
              </w:rPr>
            </w:pPr>
          </w:p>
        </w:tc>
      </w:tr>
      <w:tr w:rsidR="00532EB2" w:rsidTr="00014B4E" w14:paraId="721F6373" w14:textId="77777777">
        <w:trPr>
          <w:trHeight w:val="285"/>
        </w:trPr>
        <w:tc>
          <w:tcPr>
            <w:tcW w:w="43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32EB2" w:rsidP="00532EB2" w:rsidRDefault="00150F30" w14:paraId="028B23E7" w14:textId="0D81350C">
            <w:pPr>
              <w:pStyle w:val="ListParagraph"/>
              <w:numPr>
                <w:ilvl w:val="0"/>
                <w:numId w:val="1"/>
              </w:numPr>
              <w:spacing w:after="0"/>
              <w:rPr>
                <w:rFonts w:ascii="Cambria" w:hAnsi="Cambria" w:eastAsia="Cambria" w:cs="Cambria"/>
                <w:sz w:val="20"/>
                <w:szCs w:val="20"/>
                <w:lang w:val="ro"/>
              </w:rPr>
            </w:pPr>
            <w:r>
              <w:rPr>
                <w:rFonts w:ascii="Cambria" w:hAnsi="Cambria" w:eastAsia="Cambria" w:cs="Cambria"/>
                <w:sz w:val="20"/>
                <w:szCs w:val="20"/>
                <w:lang w:val="ro"/>
              </w:rPr>
              <w:t>Recapitulare</w:t>
            </w:r>
          </w:p>
        </w:tc>
        <w:tc>
          <w:tcPr>
            <w:tcW w:w="3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32EB2" w:rsidP="00532EB2" w:rsidRDefault="00532EB2" w14:paraId="2DC0EEDC" w14:textId="284A9EBE">
            <w:pPr>
              <w:spacing w:after="0"/>
              <w:rPr>
                <w:rFonts w:ascii="Cambria" w:hAnsi="Cambria" w:eastAsia="Cambria" w:cs="Cambria"/>
                <w:sz w:val="20"/>
                <w:szCs w:val="20"/>
                <w:lang w:val="ro"/>
              </w:rPr>
            </w:pPr>
            <w:r w:rsidRPr="30D7C36A">
              <w:rPr>
                <w:rFonts w:ascii="Cambria" w:hAnsi="Cambria" w:eastAsia="Cambria" w:cs="Cambria"/>
                <w:sz w:val="20"/>
                <w:szCs w:val="20"/>
                <w:lang w:val="ro"/>
              </w:rPr>
              <w:t>Prelegere si Q&amp;A</w:t>
            </w:r>
          </w:p>
          <w:p w:rsidR="00532EB2" w:rsidP="00532EB2" w:rsidRDefault="00532EB2" w14:paraId="51F2A544" w14:textId="6557BA98">
            <w:pPr>
              <w:spacing w:after="0"/>
              <w:rPr>
                <w:rFonts w:ascii="Cambria" w:hAnsi="Cambria" w:eastAsia="Cambria" w:cs="Cambria"/>
                <w:sz w:val="20"/>
                <w:szCs w:val="20"/>
                <w:lang w:val="ro"/>
              </w:rPr>
            </w:pP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32EB2" w:rsidP="00532EB2" w:rsidRDefault="00532EB2" w14:paraId="0FF08B6D" w14:textId="2D108C2A">
            <w:pPr>
              <w:spacing w:after="0"/>
              <w:rPr>
                <w:rFonts w:ascii="Cambria" w:hAnsi="Cambria" w:eastAsia="Cambria" w:cs="Cambria"/>
                <w:sz w:val="20"/>
                <w:szCs w:val="20"/>
                <w:lang w:val="ro"/>
              </w:rPr>
            </w:pPr>
          </w:p>
        </w:tc>
      </w:tr>
      <w:tr w:rsidR="00532EB2" w:rsidTr="00014B4E" w14:paraId="32DD5830" w14:textId="77777777">
        <w:trPr>
          <w:trHeight w:val="285"/>
        </w:trPr>
        <w:tc>
          <w:tcPr>
            <w:tcW w:w="1049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32EB2" w:rsidP="00532EB2" w:rsidRDefault="00532EB2" w14:paraId="66A3286A" w14:textId="51AE809D">
            <w:pPr>
              <w:spacing w:after="0"/>
              <w:rPr>
                <w:rFonts w:ascii="Cambria" w:hAnsi="Cambria" w:eastAsia="Cambria" w:cs="Cambria"/>
                <w:b/>
                <w:bCs/>
                <w:sz w:val="20"/>
                <w:szCs w:val="20"/>
                <w:lang w:val="ro"/>
              </w:rPr>
            </w:pPr>
            <w:r w:rsidRPr="002D3531">
              <w:rPr>
                <w:rFonts w:ascii="Cambria" w:hAnsi="Cambria" w:eastAsia="Cambria" w:cs="Cambria"/>
                <w:b/>
                <w:bCs/>
                <w:sz w:val="20"/>
                <w:szCs w:val="20"/>
                <w:lang w:val="ro"/>
              </w:rPr>
              <w:t>Bibliografie</w:t>
            </w:r>
          </w:p>
          <w:p w:rsidRPr="002D3531" w:rsidR="002D3531" w:rsidP="002D3531" w:rsidRDefault="002D3531" w14:paraId="7EC2E07F" w14:textId="3D4323DF">
            <w:pPr>
              <w:spacing w:after="0"/>
              <w:rPr>
                <w:rFonts w:ascii="Cambria" w:hAnsi="Cambria" w:eastAsia="Cambria" w:cs="Cambria"/>
                <w:sz w:val="20"/>
                <w:szCs w:val="20"/>
                <w:lang w:val="ro"/>
              </w:rPr>
            </w:pPr>
            <w:r>
              <w:rPr>
                <w:rFonts w:ascii="Cambria" w:hAnsi="Cambria" w:eastAsia="Cambria" w:cs="Cambria"/>
                <w:sz w:val="20"/>
                <w:szCs w:val="20"/>
                <w:lang w:val="ro"/>
              </w:rPr>
              <w:t>-</w:t>
            </w:r>
            <w:proofErr w:type="spellStart"/>
            <w:r w:rsidRPr="002D3531">
              <w:rPr>
                <w:rFonts w:ascii="Cambria" w:hAnsi="Cambria" w:eastAsia="Cambria" w:cs="Cambria"/>
                <w:sz w:val="20"/>
                <w:szCs w:val="20"/>
                <w:lang w:val="ro"/>
              </w:rPr>
              <w:t>Apascaritei</w:t>
            </w:r>
            <w:proofErr w:type="spellEnd"/>
            <w:r w:rsidRPr="002D3531">
              <w:rPr>
                <w:rFonts w:ascii="Cambria" w:hAnsi="Cambria" w:eastAsia="Cambria" w:cs="Cambria"/>
                <w:sz w:val="20"/>
                <w:szCs w:val="20"/>
                <w:lang w:val="ro"/>
              </w:rPr>
              <w:t xml:space="preserve">, P., &amp; Elvira, M. M. (2022). </w:t>
            </w:r>
            <w:proofErr w:type="spellStart"/>
            <w:r w:rsidRPr="002D3531">
              <w:rPr>
                <w:rFonts w:ascii="Cambria" w:hAnsi="Cambria" w:eastAsia="Cambria" w:cs="Cambria"/>
                <w:sz w:val="20"/>
                <w:szCs w:val="20"/>
                <w:lang w:val="ro"/>
              </w:rPr>
              <w:t>Dynamizing</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human</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resources</w:t>
            </w:r>
            <w:proofErr w:type="spellEnd"/>
            <w:r w:rsidRPr="002D3531">
              <w:rPr>
                <w:rFonts w:ascii="Cambria" w:hAnsi="Cambria" w:eastAsia="Cambria" w:cs="Cambria"/>
                <w:sz w:val="20"/>
                <w:szCs w:val="20"/>
                <w:lang w:val="ro"/>
              </w:rPr>
              <w:t xml:space="preserve">: An integrative </w:t>
            </w:r>
            <w:proofErr w:type="spellStart"/>
            <w:r w:rsidRPr="002D3531">
              <w:rPr>
                <w:rFonts w:ascii="Cambria" w:hAnsi="Cambria" w:eastAsia="Cambria" w:cs="Cambria"/>
                <w:sz w:val="20"/>
                <w:szCs w:val="20"/>
                <w:lang w:val="ro"/>
              </w:rPr>
              <w:t>review</w:t>
            </w:r>
            <w:proofErr w:type="spellEnd"/>
            <w:r w:rsidRPr="002D3531">
              <w:rPr>
                <w:rFonts w:ascii="Cambria" w:hAnsi="Cambria" w:eastAsia="Cambria" w:cs="Cambria"/>
                <w:sz w:val="20"/>
                <w:szCs w:val="20"/>
                <w:lang w:val="ro"/>
              </w:rPr>
              <w:t xml:space="preserve"> of SHRM </w:t>
            </w:r>
            <w:proofErr w:type="spellStart"/>
            <w:r w:rsidRPr="002D3531">
              <w:rPr>
                <w:rFonts w:ascii="Cambria" w:hAnsi="Cambria" w:eastAsia="Cambria" w:cs="Cambria"/>
                <w:sz w:val="20"/>
                <w:szCs w:val="20"/>
                <w:lang w:val="ro"/>
              </w:rPr>
              <w:t>and</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dynamic</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capabilities</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research</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Human</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Resource</w:t>
            </w:r>
            <w:proofErr w:type="spellEnd"/>
            <w:r w:rsidRPr="002D3531">
              <w:rPr>
                <w:rFonts w:ascii="Cambria" w:hAnsi="Cambria" w:eastAsia="Cambria" w:cs="Cambria"/>
                <w:sz w:val="20"/>
                <w:szCs w:val="20"/>
                <w:lang w:val="ro"/>
              </w:rPr>
              <w:t xml:space="preserve"> Management Review, 32(4), 100878. https://doi.org/10.1016/j.hrmr.2021.100878</w:t>
            </w:r>
          </w:p>
          <w:p w:rsidR="008F6903" w:rsidP="002D3531" w:rsidRDefault="002D3531" w14:paraId="3F7CB599" w14:textId="53C3EC7D">
            <w:pPr>
              <w:spacing w:after="0"/>
              <w:rPr>
                <w:rFonts w:ascii="Cambria" w:hAnsi="Cambria" w:eastAsia="Cambria" w:cs="Cambria"/>
                <w:sz w:val="20"/>
                <w:szCs w:val="20"/>
                <w:lang w:val="ro"/>
              </w:rPr>
            </w:pPr>
            <w:r>
              <w:rPr>
                <w:rFonts w:ascii="Cambria" w:hAnsi="Cambria" w:eastAsia="Cambria" w:cs="Cambria"/>
                <w:sz w:val="20"/>
                <w:szCs w:val="20"/>
                <w:lang w:val="ro"/>
              </w:rPr>
              <w:t>-</w:t>
            </w:r>
            <w:proofErr w:type="spellStart"/>
            <w:r w:rsidRPr="002D3531">
              <w:rPr>
                <w:rFonts w:ascii="Cambria" w:hAnsi="Cambria" w:eastAsia="Cambria" w:cs="Cambria"/>
                <w:sz w:val="20"/>
                <w:szCs w:val="20"/>
                <w:lang w:val="ro"/>
              </w:rPr>
              <w:t>Bratton</w:t>
            </w:r>
            <w:proofErr w:type="spellEnd"/>
            <w:r w:rsidRPr="002D3531">
              <w:rPr>
                <w:rFonts w:ascii="Cambria" w:hAnsi="Cambria" w:eastAsia="Cambria" w:cs="Cambria"/>
                <w:sz w:val="20"/>
                <w:szCs w:val="20"/>
                <w:lang w:val="ro"/>
              </w:rPr>
              <w:t xml:space="preserve">, J. si </w:t>
            </w:r>
            <w:proofErr w:type="spellStart"/>
            <w:r w:rsidRPr="002D3531">
              <w:rPr>
                <w:rFonts w:ascii="Cambria" w:hAnsi="Cambria" w:eastAsia="Cambria" w:cs="Cambria"/>
                <w:sz w:val="20"/>
                <w:szCs w:val="20"/>
                <w:lang w:val="ro"/>
              </w:rPr>
              <w:t>Gold</w:t>
            </w:r>
            <w:proofErr w:type="spellEnd"/>
            <w:r w:rsidRPr="002D3531">
              <w:rPr>
                <w:rFonts w:ascii="Cambria" w:hAnsi="Cambria" w:eastAsia="Cambria" w:cs="Cambria"/>
                <w:sz w:val="20"/>
                <w:szCs w:val="20"/>
                <w:lang w:val="ro"/>
              </w:rPr>
              <w:t xml:space="preserve">, J. (2012) </w:t>
            </w:r>
            <w:proofErr w:type="spellStart"/>
            <w:r w:rsidRPr="002D3531">
              <w:rPr>
                <w:rFonts w:ascii="Cambria" w:hAnsi="Cambria" w:eastAsia="Cambria" w:cs="Cambria"/>
                <w:sz w:val="20"/>
                <w:szCs w:val="20"/>
                <w:lang w:val="ro"/>
              </w:rPr>
              <w:t>Human</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Resource</w:t>
            </w:r>
            <w:proofErr w:type="spellEnd"/>
            <w:r w:rsidRPr="002D3531">
              <w:rPr>
                <w:rFonts w:ascii="Cambria" w:hAnsi="Cambria" w:eastAsia="Cambria" w:cs="Cambria"/>
                <w:sz w:val="20"/>
                <w:szCs w:val="20"/>
                <w:lang w:val="ro"/>
              </w:rPr>
              <w:t xml:space="preserve"> Management: </w:t>
            </w:r>
            <w:proofErr w:type="spellStart"/>
            <w:r w:rsidRPr="002D3531">
              <w:rPr>
                <w:rFonts w:ascii="Cambria" w:hAnsi="Cambria" w:eastAsia="Cambria" w:cs="Cambria"/>
                <w:sz w:val="20"/>
                <w:szCs w:val="20"/>
                <w:lang w:val="ro"/>
              </w:rPr>
              <w:t>Theory</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and</w:t>
            </w:r>
            <w:proofErr w:type="spellEnd"/>
            <w:r w:rsidRPr="002D3531">
              <w:rPr>
                <w:rFonts w:ascii="Cambria" w:hAnsi="Cambria" w:eastAsia="Cambria" w:cs="Cambria"/>
                <w:sz w:val="20"/>
                <w:szCs w:val="20"/>
                <w:lang w:val="ro"/>
              </w:rPr>
              <w:t xml:space="preserve"> Practice. </w:t>
            </w:r>
            <w:proofErr w:type="spellStart"/>
            <w:r w:rsidRPr="002D3531">
              <w:rPr>
                <w:rFonts w:ascii="Cambria" w:hAnsi="Cambria" w:eastAsia="Cambria" w:cs="Cambria"/>
                <w:sz w:val="20"/>
                <w:szCs w:val="20"/>
                <w:lang w:val="ro"/>
              </w:rPr>
              <w:t>Macmillan</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Publishers</w:t>
            </w:r>
            <w:proofErr w:type="spellEnd"/>
            <w:r w:rsidRPr="002D3531">
              <w:rPr>
                <w:rFonts w:ascii="Cambria" w:hAnsi="Cambria" w:eastAsia="Cambria" w:cs="Cambria"/>
                <w:sz w:val="20"/>
                <w:szCs w:val="20"/>
                <w:lang w:val="ro"/>
              </w:rPr>
              <w:t xml:space="preserve"> Ltd.</w:t>
            </w:r>
          </w:p>
          <w:p w:rsidRPr="002D3531" w:rsidR="002D3531" w:rsidP="002D3531" w:rsidRDefault="002D3531" w14:paraId="11F51735" w14:textId="3A474E1E">
            <w:pPr>
              <w:spacing w:after="0"/>
              <w:rPr>
                <w:rFonts w:ascii="Cambria" w:hAnsi="Cambria" w:eastAsia="Cambria" w:cs="Cambria"/>
                <w:sz w:val="20"/>
                <w:szCs w:val="20"/>
                <w:lang w:val="ro"/>
              </w:rPr>
            </w:pPr>
            <w:r>
              <w:rPr>
                <w:rFonts w:ascii="Cambria" w:hAnsi="Cambria" w:eastAsia="Cambria" w:cs="Cambria"/>
                <w:sz w:val="20"/>
                <w:szCs w:val="20"/>
                <w:lang w:val="ro"/>
              </w:rPr>
              <w:t>-</w:t>
            </w:r>
            <w:r w:rsidRPr="002D3531">
              <w:rPr>
                <w:rFonts w:ascii="Cambria" w:hAnsi="Cambria" w:eastAsia="Cambria" w:cs="Cambria"/>
                <w:sz w:val="20"/>
                <w:szCs w:val="20"/>
                <w:lang w:val="ro"/>
              </w:rPr>
              <w:t>Florea, A., (2023), STELLAR. Ghid practic de gestionare a culturii organizaționale, Publica</w:t>
            </w:r>
          </w:p>
          <w:p w:rsidR="008F6903" w:rsidP="00532EB2" w:rsidRDefault="002D3531" w14:paraId="6A897981" w14:textId="1C4C2F02">
            <w:pPr>
              <w:spacing w:after="0"/>
              <w:rPr>
                <w:rFonts w:ascii="Cambria" w:hAnsi="Cambria" w:eastAsia="Cambria" w:cs="Cambria"/>
                <w:sz w:val="20"/>
                <w:szCs w:val="20"/>
                <w:lang w:val="ro"/>
              </w:rPr>
            </w:pPr>
            <w:r>
              <w:rPr>
                <w:rFonts w:ascii="Cambria" w:hAnsi="Cambria" w:eastAsia="Cambria" w:cs="Cambria"/>
                <w:sz w:val="20"/>
                <w:szCs w:val="20"/>
                <w:lang w:val="ro"/>
              </w:rPr>
              <w:t>-</w:t>
            </w:r>
            <w:r w:rsidRPr="002D3531">
              <w:rPr>
                <w:rFonts w:ascii="Cambria" w:hAnsi="Cambria" w:eastAsia="Cambria" w:cs="Cambria"/>
                <w:sz w:val="20"/>
                <w:szCs w:val="20"/>
                <w:lang w:val="ro"/>
              </w:rPr>
              <w:t xml:space="preserve">Stanciu, A., (2023), Alternative. Idei de pus pe gânduri, </w:t>
            </w:r>
            <w:proofErr w:type="spellStart"/>
            <w:r w:rsidRPr="002D3531">
              <w:rPr>
                <w:rFonts w:ascii="Cambria" w:hAnsi="Cambria" w:eastAsia="Cambria" w:cs="Cambria"/>
                <w:sz w:val="20"/>
                <w:szCs w:val="20"/>
                <w:lang w:val="ro"/>
              </w:rPr>
              <w:t>Bookzone</w:t>
            </w:r>
            <w:proofErr w:type="spellEnd"/>
          </w:p>
          <w:p w:rsidRPr="002D3531" w:rsidR="002D3531" w:rsidP="002D3531" w:rsidRDefault="002D3531" w14:paraId="1DEC7CC0" w14:textId="3E46F1DC">
            <w:pPr>
              <w:spacing w:after="0"/>
              <w:rPr>
                <w:rFonts w:ascii="Cambria" w:hAnsi="Cambria" w:eastAsia="Cambria" w:cs="Cambria"/>
                <w:sz w:val="20"/>
                <w:szCs w:val="20"/>
                <w:lang w:val="ro"/>
              </w:rPr>
            </w:pPr>
            <w:r>
              <w:rPr>
                <w:rFonts w:ascii="Cambria" w:hAnsi="Cambria" w:eastAsia="Cambria" w:cs="Cambria"/>
                <w:sz w:val="20"/>
                <w:szCs w:val="20"/>
                <w:lang w:val="ro"/>
              </w:rPr>
              <w:t>-</w:t>
            </w:r>
            <w:r w:rsidRPr="002D3531">
              <w:rPr>
                <w:rFonts w:ascii="Cambria" w:hAnsi="Cambria" w:eastAsia="Cambria" w:cs="Cambria"/>
                <w:sz w:val="20"/>
                <w:szCs w:val="20"/>
                <w:lang w:val="ro"/>
              </w:rPr>
              <w:t xml:space="preserve">Brown, B., (2016). Curajul de a fi vulnerabil, Curtea Veche </w:t>
            </w:r>
            <w:proofErr w:type="spellStart"/>
            <w:r w:rsidRPr="002D3531">
              <w:rPr>
                <w:rFonts w:ascii="Cambria" w:hAnsi="Cambria" w:eastAsia="Cambria" w:cs="Cambria"/>
                <w:sz w:val="20"/>
                <w:szCs w:val="20"/>
                <w:lang w:val="ro"/>
              </w:rPr>
              <w:t>Publishing</w:t>
            </w:r>
            <w:proofErr w:type="spellEnd"/>
          </w:p>
          <w:p w:rsidR="002D3531" w:rsidP="002D3531" w:rsidRDefault="002D3531" w14:paraId="746CC830" w14:textId="42B958C4">
            <w:pPr>
              <w:spacing w:after="0"/>
              <w:rPr>
                <w:rFonts w:ascii="Cambria" w:hAnsi="Cambria" w:eastAsia="Cambria" w:cs="Cambria"/>
                <w:sz w:val="20"/>
                <w:szCs w:val="20"/>
                <w:lang w:val="ro"/>
              </w:rPr>
            </w:pPr>
            <w:r>
              <w:rPr>
                <w:rFonts w:ascii="Cambria" w:hAnsi="Cambria" w:eastAsia="Cambria" w:cs="Cambria"/>
                <w:sz w:val="20"/>
                <w:szCs w:val="20"/>
                <w:lang w:val="ro"/>
              </w:rPr>
              <w:t>-</w:t>
            </w:r>
            <w:r w:rsidRPr="002D3531">
              <w:rPr>
                <w:rFonts w:ascii="Cambria" w:hAnsi="Cambria" w:eastAsia="Cambria" w:cs="Cambria"/>
                <w:sz w:val="20"/>
                <w:szCs w:val="20"/>
                <w:lang w:val="ro"/>
              </w:rPr>
              <w:t xml:space="preserve">Schwartz, B., (2015) </w:t>
            </w:r>
            <w:proofErr w:type="spellStart"/>
            <w:r w:rsidRPr="002D3531">
              <w:rPr>
                <w:rFonts w:ascii="Cambria" w:hAnsi="Cambria" w:eastAsia="Cambria" w:cs="Cambria"/>
                <w:sz w:val="20"/>
                <w:szCs w:val="20"/>
                <w:lang w:val="ro"/>
              </w:rPr>
              <w:t>Why</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We</w:t>
            </w:r>
            <w:proofErr w:type="spellEnd"/>
            <w:r w:rsidRPr="002D3531">
              <w:rPr>
                <w:rFonts w:ascii="Cambria" w:hAnsi="Cambria" w:eastAsia="Cambria" w:cs="Cambria"/>
                <w:sz w:val="20"/>
                <w:szCs w:val="20"/>
                <w:lang w:val="ro"/>
              </w:rPr>
              <w:t xml:space="preserve"> </w:t>
            </w:r>
            <w:proofErr w:type="spellStart"/>
            <w:r w:rsidRPr="002D3531">
              <w:rPr>
                <w:rFonts w:ascii="Cambria" w:hAnsi="Cambria" w:eastAsia="Cambria" w:cs="Cambria"/>
                <w:sz w:val="20"/>
                <w:szCs w:val="20"/>
                <w:lang w:val="ro"/>
              </w:rPr>
              <w:t>Work</w:t>
            </w:r>
            <w:proofErr w:type="spellEnd"/>
            <w:r w:rsidRPr="002D3531">
              <w:rPr>
                <w:rFonts w:ascii="Cambria" w:hAnsi="Cambria" w:eastAsia="Cambria" w:cs="Cambria"/>
                <w:sz w:val="20"/>
                <w:szCs w:val="20"/>
                <w:lang w:val="ro"/>
              </w:rPr>
              <w:t>, Simon &amp; Schuster</w:t>
            </w:r>
          </w:p>
          <w:p w:rsidR="008F6903" w:rsidP="00532EB2" w:rsidRDefault="008F6903" w14:paraId="2875BC1E" w14:textId="77777777">
            <w:pPr>
              <w:spacing w:after="0"/>
              <w:rPr>
                <w:rFonts w:ascii="Cambria" w:hAnsi="Cambria" w:eastAsia="Cambria" w:cs="Cambria"/>
                <w:sz w:val="20"/>
                <w:szCs w:val="20"/>
                <w:lang w:val="ro"/>
              </w:rPr>
            </w:pPr>
          </w:p>
          <w:p w:rsidR="00532EB2" w:rsidP="00532EB2" w:rsidRDefault="00532EB2" w14:paraId="6824C7B6" w14:textId="37072726">
            <w:pPr>
              <w:spacing w:after="0"/>
              <w:rPr>
                <w:rFonts w:ascii="Cambria" w:hAnsi="Cambria" w:eastAsia="Cambria" w:cs="Cambria"/>
                <w:sz w:val="20"/>
                <w:szCs w:val="20"/>
                <w:lang w:val="ro"/>
              </w:rPr>
            </w:pPr>
            <w:r w:rsidRPr="30D7C36A">
              <w:rPr>
                <w:rFonts w:ascii="Cambria" w:hAnsi="Cambria" w:eastAsia="Cambria" w:cs="Cambria"/>
                <w:sz w:val="20"/>
                <w:szCs w:val="20"/>
                <w:lang w:val="ro"/>
              </w:rPr>
              <w:t xml:space="preserve">Alte materiale și surse bibliografice vor fi prezentate pe parcursul întâlnirilor de curs și vor fi puse la dispoziție pe grupul de MS </w:t>
            </w:r>
            <w:proofErr w:type="spellStart"/>
            <w:r w:rsidRPr="30D7C36A">
              <w:rPr>
                <w:rFonts w:ascii="Cambria" w:hAnsi="Cambria" w:eastAsia="Cambria" w:cs="Cambria"/>
                <w:sz w:val="20"/>
                <w:szCs w:val="20"/>
                <w:lang w:val="ro"/>
              </w:rPr>
              <w:t>Teams</w:t>
            </w:r>
            <w:proofErr w:type="spellEnd"/>
            <w:r w:rsidRPr="30D7C36A">
              <w:rPr>
                <w:rFonts w:ascii="Cambria" w:hAnsi="Cambria" w:eastAsia="Cambria" w:cs="Cambria"/>
                <w:sz w:val="20"/>
                <w:szCs w:val="20"/>
                <w:lang w:val="ro"/>
              </w:rPr>
              <w:t>.</w:t>
            </w:r>
          </w:p>
        </w:tc>
      </w:tr>
    </w:tbl>
    <w:p w:rsidR="00036059" w:rsidP="48E433DB" w:rsidRDefault="00036059" w14:paraId="4A5A0AA0" w14:textId="2D57B52A">
      <w:pPr>
        <w:spacing w:after="0" w:line="240" w:lineRule="auto"/>
        <w:ind w:hanging="426"/>
        <w:rPr>
          <w:rFonts w:ascii="Cambria" w:hAnsi="Cambria"/>
          <w:b/>
          <w:bCs/>
          <w:sz w:val="20"/>
          <w:szCs w:val="20"/>
        </w:rPr>
      </w:pPr>
      <w:r w:rsidRPr="48E433DB">
        <w:rPr>
          <w:rFonts w:ascii="Cambria" w:hAnsi="Cambria"/>
          <w:b/>
          <w:bCs/>
          <w:sz w:val="20"/>
          <w:szCs w:val="20"/>
        </w:rPr>
        <w:t xml:space="preserve">9. </w:t>
      </w:r>
      <w:r w:rsidRPr="48E433DB" w:rsidR="00FA3D17">
        <w:rPr>
          <w:rFonts w:ascii="Cambria" w:hAnsi="Cambria"/>
          <w:b/>
          <w:bCs/>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30D7C36A" w14:paraId="697653B0" w14:textId="77777777">
        <w:trPr>
          <w:trHeight w:val="300"/>
        </w:trPr>
        <w:tc>
          <w:tcPr>
            <w:tcW w:w="10491" w:type="dxa"/>
          </w:tcPr>
          <w:p w:rsidR="0084568F" w:rsidP="48E433DB" w:rsidRDefault="7BFDECE9" w14:paraId="47F502D0" w14:textId="77777777">
            <w:pPr>
              <w:spacing w:before="120" w:after="0" w:line="240" w:lineRule="auto"/>
              <w:rPr>
                <w:rFonts w:ascii="Cambria" w:hAnsi="Cambria" w:eastAsia="Cambria" w:cs="Cambria"/>
                <w:sz w:val="20"/>
                <w:szCs w:val="20"/>
                <w:lang w:val="ro"/>
              </w:rPr>
            </w:pPr>
            <w:r w:rsidRPr="30D7C36A">
              <w:rPr>
                <w:rFonts w:ascii="Cambria" w:hAnsi="Cambria" w:eastAsia="Cambria" w:cs="Cambria"/>
                <w:sz w:val="20"/>
                <w:szCs w:val="20"/>
                <w:lang w:val="ro"/>
              </w:rPr>
              <w:t xml:space="preserve">Conținuturile disciplinei sunt corelate cu așteptările comunității epistemice, ale asociațiilor profesionale și ale angajatorilor relevanți pentru domeniul programului de studii. În procesul de proiectare au fost avute în vedere evoluțiile recente ale cunoașterii științifice, standardele profesionale și cerințele pieței muncii, astfel încât competențele formate să răspundă atât exigențelor academice, cât și nevoilor practice ale mediului </w:t>
            </w:r>
            <w:proofErr w:type="spellStart"/>
            <w:r w:rsidRPr="30D7C36A">
              <w:rPr>
                <w:rFonts w:ascii="Cambria" w:hAnsi="Cambria" w:eastAsia="Cambria" w:cs="Cambria"/>
                <w:sz w:val="20"/>
                <w:szCs w:val="20"/>
                <w:lang w:val="ro"/>
              </w:rPr>
              <w:t>socio</w:t>
            </w:r>
            <w:proofErr w:type="spellEnd"/>
            <w:r w:rsidRPr="30D7C36A">
              <w:rPr>
                <w:rFonts w:ascii="Cambria" w:hAnsi="Cambria" w:eastAsia="Cambria" w:cs="Cambria"/>
                <w:sz w:val="20"/>
                <w:szCs w:val="20"/>
                <w:lang w:val="ro"/>
              </w:rPr>
              <w:t>-economic.</w:t>
            </w:r>
          </w:p>
          <w:p w:rsidRPr="002E4459" w:rsidR="00D21528" w:rsidP="48E433DB" w:rsidRDefault="00D21528" w14:paraId="2B940AFD" w14:textId="2E323723">
            <w:pPr>
              <w:spacing w:before="120" w:after="0" w:line="240" w:lineRule="auto"/>
              <w:rPr>
                <w:rFonts w:ascii="Cambria" w:hAnsi="Cambria" w:eastAsia="Cambria" w:cs="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sidRPr="001F2349">
        <w:rPr>
          <w:rFonts w:ascii="Cambria" w:hAnsi="Cambria"/>
          <w:b/>
          <w:bCs/>
          <w:sz w:val="20"/>
          <w:szCs w:val="20"/>
        </w:rPr>
        <w:t>10. Evaluare</w:t>
      </w:r>
    </w:p>
    <w:p w:rsidR="00A82450" w:rsidP="48E433DB" w:rsidRDefault="00A82450" w14:paraId="228664F5" w14:textId="3EBAB653">
      <w:pPr>
        <w:spacing w:after="0"/>
        <w:ind w:hanging="425"/>
        <w:rPr>
          <w:rFonts w:ascii="Cambria" w:hAnsi="Cambria"/>
          <w:b/>
          <w:bCs/>
          <w:sz w:val="20"/>
          <w:szCs w:val="20"/>
        </w:rPr>
      </w:pPr>
    </w:p>
    <w:tbl>
      <w:tblPr>
        <w:tblW w:w="0" w:type="auto"/>
        <w:tblInd w:w="-435" w:type="dxa"/>
        <w:tblLayout w:type="fixed"/>
        <w:tblLook w:val="01E0" w:firstRow="1" w:lastRow="1" w:firstColumn="1" w:lastColumn="1" w:noHBand="0" w:noVBand="0"/>
      </w:tblPr>
      <w:tblGrid>
        <w:gridCol w:w="2839"/>
        <w:gridCol w:w="2550"/>
        <w:gridCol w:w="2409"/>
        <w:gridCol w:w="2694"/>
      </w:tblGrid>
      <w:tr w:rsidR="48E433DB" w:rsidTr="30D7C36A" w14:paraId="29ECF3ED" w14:textId="77777777">
        <w:trPr>
          <w:trHeight w:val="285"/>
        </w:trPr>
        <w:tc>
          <w:tcPr>
            <w:tcW w:w="283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3E0DEB4D" w14:textId="54F1907E">
            <w:pPr>
              <w:spacing w:after="0"/>
            </w:pPr>
            <w:r w:rsidRPr="48E433DB">
              <w:rPr>
                <w:rFonts w:ascii="Cambria" w:hAnsi="Cambria" w:eastAsia="Cambria" w:cs="Cambria"/>
                <w:sz w:val="20"/>
                <w:szCs w:val="20"/>
                <w:lang w:val="ro"/>
              </w:rPr>
              <w:t>Tip activitate</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07D8C49A" w14:textId="3C26EA8A">
            <w:pPr>
              <w:spacing w:after="0"/>
              <w:ind w:left="46" w:right="-154"/>
            </w:pPr>
            <w:r w:rsidRPr="48E433DB">
              <w:rPr>
                <w:rFonts w:ascii="Cambria" w:hAnsi="Cambria" w:eastAsia="Cambria" w:cs="Cambria"/>
                <w:sz w:val="20"/>
                <w:szCs w:val="20"/>
                <w:lang w:val="ro"/>
              </w:rPr>
              <w:t>10.1 Criterii de evaluare</w:t>
            </w:r>
          </w:p>
        </w:tc>
        <w:tc>
          <w:tcPr>
            <w:tcW w:w="24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6C70DE01" w14:textId="3289DC04">
            <w:pPr>
              <w:spacing w:after="0"/>
            </w:pPr>
            <w:r w:rsidRPr="48E433DB">
              <w:rPr>
                <w:rFonts w:ascii="Cambria" w:hAnsi="Cambria" w:eastAsia="Cambria" w:cs="Cambria"/>
                <w:sz w:val="20"/>
                <w:szCs w:val="20"/>
                <w:lang w:val="ro"/>
              </w:rPr>
              <w:t>10.2 Metode de evaluare</w:t>
            </w:r>
          </w:p>
        </w:tc>
        <w:tc>
          <w:tcPr>
            <w:tcW w:w="26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693A0ECD" w14:textId="652477A4">
            <w:pPr>
              <w:spacing w:after="0"/>
            </w:pPr>
            <w:r w:rsidRPr="48E433DB">
              <w:rPr>
                <w:rFonts w:ascii="Cambria" w:hAnsi="Cambria" w:eastAsia="Cambria" w:cs="Cambria"/>
                <w:sz w:val="20"/>
                <w:szCs w:val="20"/>
                <w:lang w:val="ro"/>
              </w:rPr>
              <w:t>10.3 Pondere din nota finală</w:t>
            </w:r>
          </w:p>
        </w:tc>
      </w:tr>
      <w:tr w:rsidR="48E433DB" w:rsidTr="30D7C36A" w14:paraId="695A364E" w14:textId="77777777">
        <w:trPr>
          <w:trHeight w:val="285"/>
        </w:trPr>
        <w:tc>
          <w:tcPr>
            <w:tcW w:w="283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1E344E99" w14:textId="15626B77">
            <w:pPr>
              <w:spacing w:after="0"/>
            </w:pPr>
            <w:r w:rsidRPr="48E433DB">
              <w:rPr>
                <w:rFonts w:ascii="Cambria" w:hAnsi="Cambria" w:eastAsia="Cambria" w:cs="Cambria"/>
                <w:sz w:val="20"/>
                <w:szCs w:val="20"/>
                <w:lang w:val="ro"/>
              </w:rPr>
              <w:t>10.4 Curs</w:t>
            </w:r>
          </w:p>
        </w:tc>
        <w:tc>
          <w:tcPr>
            <w:tcW w:w="25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432ADA10" w14:textId="788EEA3C">
            <w:pPr>
              <w:spacing w:after="0"/>
            </w:pPr>
            <w:r w:rsidRPr="48E433DB">
              <w:rPr>
                <w:rFonts w:ascii="Cambria" w:hAnsi="Cambria" w:eastAsia="Cambria" w:cs="Cambria"/>
                <w:sz w:val="20"/>
                <w:szCs w:val="20"/>
                <w:lang w:val="ro"/>
              </w:rPr>
              <w:t>Stăpânirea conceptelor, modelelor și teoriilor abordate la curs și capacitatea de aplicare a lor în situații concrete</w:t>
            </w:r>
          </w:p>
        </w:tc>
        <w:tc>
          <w:tcPr>
            <w:tcW w:w="24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713A88" w:rsidP="30D7C36A" w:rsidRDefault="00713A88" w14:paraId="29DA1D64" w14:textId="77777777">
            <w:pPr>
              <w:spacing w:after="0"/>
              <w:rPr>
                <w:rFonts w:ascii="Cambria" w:hAnsi="Cambria" w:eastAsia="Cambria" w:cs="Cambria"/>
                <w:sz w:val="20"/>
                <w:szCs w:val="20"/>
                <w:lang w:val="ro"/>
              </w:rPr>
            </w:pPr>
            <w:r w:rsidRPr="00713A88">
              <w:rPr>
                <w:rFonts w:ascii="Cambria" w:hAnsi="Cambria" w:eastAsia="Cambria" w:cs="Cambria"/>
                <w:sz w:val="20"/>
                <w:szCs w:val="20"/>
                <w:lang w:val="ro"/>
              </w:rPr>
              <w:t>test grila la final (90% din nota)</w:t>
            </w:r>
          </w:p>
          <w:p w:rsidR="00713A88" w:rsidP="30D7C36A" w:rsidRDefault="00713A88" w14:paraId="1CD183F8" w14:textId="77777777">
            <w:pPr>
              <w:spacing w:after="0"/>
              <w:rPr>
                <w:rFonts w:ascii="Cambria" w:hAnsi="Cambria" w:eastAsia="Cambria" w:cs="Cambria"/>
                <w:sz w:val="20"/>
                <w:szCs w:val="20"/>
                <w:lang w:val="ro"/>
              </w:rPr>
            </w:pPr>
          </w:p>
          <w:p w:rsidR="48E433DB" w:rsidP="30D7C36A" w:rsidRDefault="00713A88" w14:paraId="202C37D7" w14:textId="2FA66084">
            <w:pPr>
              <w:spacing w:after="0"/>
              <w:rPr>
                <w:rFonts w:ascii="Cambria" w:hAnsi="Cambria" w:eastAsia="Cambria" w:cs="Cambria"/>
                <w:sz w:val="20"/>
                <w:szCs w:val="20"/>
                <w:lang w:val="ro"/>
              </w:rPr>
            </w:pPr>
            <w:r w:rsidRPr="00713A88">
              <w:rPr>
                <w:rFonts w:ascii="Cambria" w:hAnsi="Cambria" w:eastAsia="Cambria" w:cs="Cambria"/>
                <w:sz w:val="20"/>
                <w:szCs w:val="20"/>
                <w:lang w:val="ro"/>
              </w:rPr>
              <w:t>prezența la curs (10%)</w:t>
            </w:r>
          </w:p>
        </w:tc>
        <w:tc>
          <w:tcPr>
            <w:tcW w:w="26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002D3531" w14:paraId="4193439C" w14:textId="19956A76">
            <w:pPr>
              <w:spacing w:after="0"/>
            </w:pPr>
            <w:r>
              <w:t>100%</w:t>
            </w:r>
          </w:p>
        </w:tc>
      </w:tr>
      <w:tr w:rsidR="48E433DB" w:rsidTr="30D7C36A" w14:paraId="5C5B074F" w14:textId="77777777">
        <w:trPr>
          <w:trHeight w:val="285"/>
        </w:trPr>
        <w:tc>
          <w:tcPr>
            <w:tcW w:w="10492" w:type="dxa"/>
            <w:gridSpan w:val="4"/>
            <w:tcBorders>
              <w:top w:val="nil"/>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6186DCE2" w14:textId="6D2E8288">
            <w:pPr>
              <w:spacing w:after="0"/>
            </w:pPr>
            <w:r w:rsidRPr="48E433DB">
              <w:rPr>
                <w:rFonts w:ascii="Cambria" w:hAnsi="Cambria" w:eastAsia="Cambria" w:cs="Cambria"/>
                <w:sz w:val="20"/>
                <w:szCs w:val="20"/>
                <w:lang w:val="ro"/>
              </w:rPr>
              <w:t>10.6 Standard minim de performanță</w:t>
            </w:r>
          </w:p>
        </w:tc>
      </w:tr>
      <w:tr w:rsidR="48E433DB" w:rsidTr="30D7C36A" w14:paraId="17F346B4" w14:textId="77777777">
        <w:trPr>
          <w:trHeight w:val="285"/>
        </w:trPr>
        <w:tc>
          <w:tcPr>
            <w:tcW w:w="10492"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48E433DB" w:rsidP="48E433DB" w:rsidRDefault="25099683" w14:paraId="09DA741F" w14:textId="73727481">
            <w:pPr>
              <w:pStyle w:val="ListParagraph"/>
              <w:numPr>
                <w:ilvl w:val="0"/>
                <w:numId w:val="2"/>
              </w:numPr>
              <w:spacing w:after="0"/>
              <w:ind w:left="641" w:hanging="357"/>
              <w:rPr>
                <w:rFonts w:ascii="Cambria" w:hAnsi="Cambria" w:eastAsia="Cambria" w:cs="Cambria"/>
                <w:sz w:val="20"/>
                <w:szCs w:val="20"/>
                <w:lang w:val="ro"/>
              </w:rPr>
            </w:pPr>
            <w:r w:rsidRPr="30D7C36A">
              <w:rPr>
                <w:rFonts w:ascii="Cambria" w:hAnsi="Cambria" w:eastAsia="Cambria" w:cs="Cambria"/>
                <w:sz w:val="20"/>
                <w:szCs w:val="20"/>
                <w:lang w:val="ro"/>
              </w:rPr>
              <w:t xml:space="preserve"> Cumularea a minim 4.5 puncte la </w:t>
            </w:r>
            <w:r w:rsidRPr="30D7C36A" w:rsidR="4F8013B3">
              <w:rPr>
                <w:rFonts w:ascii="Cambria" w:hAnsi="Cambria" w:eastAsia="Cambria" w:cs="Cambria"/>
                <w:sz w:val="20"/>
                <w:szCs w:val="20"/>
                <w:lang w:val="ro"/>
              </w:rPr>
              <w:t>punctajul final</w:t>
            </w:r>
          </w:p>
          <w:p w:rsidRPr="00260F93" w:rsidR="48E433DB" w:rsidP="48E433DB" w:rsidRDefault="48E433DB" w14:paraId="7AE70BE5" w14:textId="598E0D75">
            <w:pPr>
              <w:spacing w:after="0"/>
            </w:pPr>
          </w:p>
        </w:tc>
      </w:tr>
    </w:tbl>
    <w:p w:rsidR="00A82450" w:rsidP="48E433DB" w:rsidRDefault="00A82450" w14:paraId="6D34B49E" w14:textId="70EBF227">
      <w:pPr>
        <w:spacing w:after="0"/>
        <w:ind w:hanging="425"/>
        <w:rPr>
          <w:rFonts w:ascii="Cambria" w:hAnsi="Cambria"/>
          <w:b/>
          <w:bCs/>
          <w:sz w:val="20"/>
          <w:szCs w:val="20"/>
        </w:rPr>
      </w:pPr>
    </w:p>
    <w:p w:rsidR="48E433DB" w:rsidP="48E433DB" w:rsidRDefault="48E433DB" w14:paraId="00E87F17" w14:textId="25F2ED32">
      <w:pPr>
        <w:spacing w:after="0"/>
        <w:ind w:hanging="425"/>
        <w:rPr>
          <w:rFonts w:ascii="Cambria" w:hAnsi="Cambria"/>
          <w:b/>
          <w:bCs/>
          <w:sz w:val="20"/>
          <w:szCs w:val="20"/>
        </w:rPr>
      </w:pPr>
    </w:p>
    <w:p w:rsidR="006A3DD3" w:rsidP="48E433DB" w:rsidRDefault="006A3DD3" w14:paraId="63FD5B53" w14:textId="4EB09839">
      <w:pPr>
        <w:spacing w:after="0"/>
        <w:ind w:hanging="425"/>
        <w:rPr>
          <w:rStyle w:val="FootnoteReference"/>
          <w:rFonts w:ascii="Cambria" w:hAnsi="Cambria"/>
          <w:b/>
          <w:bCs/>
          <w:sz w:val="20"/>
          <w:szCs w:val="20"/>
        </w:rPr>
      </w:pPr>
      <w:r w:rsidRPr="48E433DB">
        <w:rPr>
          <w:rFonts w:ascii="Cambria" w:hAnsi="Cambria"/>
          <w:b/>
          <w:bCs/>
          <w:sz w:val="20"/>
          <w:szCs w:val="20"/>
        </w:rPr>
        <w:t xml:space="preserve">11. </w:t>
      </w:r>
      <w:r w:rsidRPr="48E433DB" w:rsidR="00DC236E">
        <w:rPr>
          <w:rFonts w:ascii="Cambria" w:hAnsi="Cambria"/>
          <w:b/>
          <w:bCs/>
          <w:sz w:val="20"/>
          <w:szCs w:val="20"/>
        </w:rPr>
        <w:t xml:space="preserve">Etichete ODD (Obiective de Dezvoltare Durabilă / </w:t>
      </w:r>
      <w:proofErr w:type="spellStart"/>
      <w:r w:rsidRPr="48E433DB" w:rsidR="00DC236E">
        <w:rPr>
          <w:rFonts w:ascii="Cambria" w:hAnsi="Cambria"/>
          <w:b/>
          <w:bCs/>
          <w:sz w:val="20"/>
          <w:szCs w:val="20"/>
        </w:rPr>
        <w:t>Sustainable</w:t>
      </w:r>
      <w:proofErr w:type="spellEnd"/>
      <w:r w:rsidRPr="48E433DB" w:rsidR="00DC236E">
        <w:rPr>
          <w:rFonts w:ascii="Cambria" w:hAnsi="Cambria"/>
          <w:b/>
          <w:bCs/>
          <w:sz w:val="20"/>
          <w:szCs w:val="20"/>
        </w:rPr>
        <w:t xml:space="preserve"> </w:t>
      </w:r>
      <w:proofErr w:type="spellStart"/>
      <w:r w:rsidRPr="48E433DB" w:rsidR="00DC236E">
        <w:rPr>
          <w:rFonts w:ascii="Cambria" w:hAnsi="Cambria"/>
          <w:b/>
          <w:bCs/>
          <w:sz w:val="20"/>
          <w:szCs w:val="20"/>
        </w:rPr>
        <w:t>Development</w:t>
      </w:r>
      <w:proofErr w:type="spellEnd"/>
      <w:r w:rsidRPr="48E433DB" w:rsidR="00DC236E">
        <w:rPr>
          <w:rFonts w:ascii="Cambria" w:hAnsi="Cambria"/>
          <w:b/>
          <w:bCs/>
          <w:sz w:val="20"/>
          <w:szCs w:val="20"/>
        </w:rPr>
        <w:t xml:space="preserve"> </w:t>
      </w:r>
      <w:proofErr w:type="spellStart"/>
      <w:r w:rsidRPr="48E433DB" w:rsidR="00DC236E">
        <w:rPr>
          <w:rFonts w:ascii="Cambria" w:hAnsi="Cambria"/>
          <w:b/>
          <w:bCs/>
          <w:sz w:val="20"/>
          <w:szCs w:val="20"/>
        </w:rPr>
        <w:t>Goals</w:t>
      </w:r>
      <w:proofErr w:type="spellEnd"/>
      <w:r w:rsidRPr="48E433DB" w:rsidR="00DC236E">
        <w:rPr>
          <w:rFonts w:ascii="Cambria" w:hAnsi="Cambria"/>
          <w:b/>
          <w:bCs/>
          <w:sz w:val="20"/>
          <w:szCs w:val="20"/>
        </w:rPr>
        <w:t>)</w:t>
      </w:r>
    </w:p>
    <w:p w:rsidR="006A3DD3" w:rsidP="48E433DB" w:rsidRDefault="006A3DD3" w14:paraId="36CFA850" w14:textId="4B330C17">
      <w:pPr>
        <w:spacing w:after="0"/>
        <w:ind w:hanging="425"/>
        <w:rPr>
          <w:rFonts w:ascii="Cambria" w:hAnsi="Cambria"/>
          <w:b/>
          <w:bCs/>
          <w:sz w:val="20"/>
          <w:szCs w:val="20"/>
        </w:rPr>
      </w:pPr>
    </w:p>
    <w:tbl>
      <w:tblPr>
        <w:tblStyle w:val="TableGrid"/>
        <w:tblW w:w="0" w:type="auto"/>
        <w:tblInd w:w="-435"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48E433DB" w:rsidTr="30D7C36A" w14:paraId="117E3AC8" w14:textId="77777777">
        <w:trPr>
          <w:trHeight w:val="1035"/>
        </w:trPr>
        <w:tc>
          <w:tcPr>
            <w:tcW w:w="11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D36466B" w:rsidRDefault="2D36466B" w14:paraId="6070669E" w14:textId="61A3D7FE">
            <w:r>
              <w:rPr>
                <w:noProof/>
              </w:rPr>
              <w:drawing>
                <wp:inline distT="0" distB="0" distL="0" distR="0" wp14:anchorId="44E9F1CE" wp14:editId="7BC2406F">
                  <wp:extent cx="590550" cy="590550"/>
                  <wp:effectExtent l="0" t="0" r="0" b="0"/>
                  <wp:docPr id="18380165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16577" name=""/>
                          <pic:cNvPicPr/>
                        </pic:nvPicPr>
                        <pic:blipFill>
                          <a:blip r:embed="rId1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9326"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0D284BF0" w14:textId="2057488D">
            <w:r w:rsidRPr="48E433DB">
              <w:rPr>
                <w:rFonts w:ascii="Cambria" w:hAnsi="Cambria" w:eastAsia="Cambria" w:cs="Cambria"/>
                <w:lang w:val="ro"/>
              </w:rPr>
              <w:t>Eticheta generală pentru Dezvoltare durabilă</w:t>
            </w:r>
          </w:p>
        </w:tc>
      </w:tr>
      <w:tr w:rsidR="48E433DB" w:rsidTr="30D7C36A" w14:paraId="363846E6" w14:textId="77777777">
        <w:trPr>
          <w:trHeight w:val="1125"/>
        </w:trPr>
        <w:tc>
          <w:tcPr>
            <w:tcW w:w="11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20702F86" w14:textId="745170BB">
            <w:pPr>
              <w:ind w:right="-537"/>
            </w:pPr>
            <w:r w:rsidRPr="48E433DB">
              <w:rPr>
                <w:rFonts w:ascii="Cambria" w:hAnsi="Cambria" w:eastAsia="Cambria" w:cs="Cambria"/>
                <w:lang w:val="ro"/>
              </w:rPr>
              <w:lastRenderedPageBreak/>
              <w:t xml:space="preserve"> </w:t>
            </w:r>
          </w:p>
        </w:tc>
        <w:tc>
          <w:tcPr>
            <w:tcW w:w="116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15127250" w14:textId="1D62C745">
            <w:r w:rsidRPr="48E433DB">
              <w:rPr>
                <w:rFonts w:ascii="Cambria" w:hAnsi="Cambria" w:eastAsia="Cambria" w:cs="Cambria"/>
                <w:lang w:val="ro"/>
              </w:rPr>
              <w:t xml:space="preserve"> </w:t>
            </w:r>
          </w:p>
        </w:tc>
        <w:tc>
          <w:tcPr>
            <w:tcW w:w="1166" w:type="dxa"/>
            <w:tcBorders>
              <w:top w:val="nil"/>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1D015EAF" w14:textId="7AEEAB66">
            <w:r w:rsidRPr="48E433DB">
              <w:rPr>
                <w:rFonts w:ascii="Cambria" w:hAnsi="Cambria" w:eastAsia="Cambria" w:cs="Cambria"/>
                <w:lang w:val="ro"/>
              </w:rPr>
              <w:t xml:space="preserve"> </w:t>
            </w:r>
          </w:p>
        </w:tc>
        <w:tc>
          <w:tcPr>
            <w:tcW w:w="1165" w:type="dxa"/>
            <w:tcBorders>
              <w:top w:val="nil"/>
              <w:left w:val="single" w:color="auto" w:sz="8" w:space="0"/>
              <w:bottom w:val="single" w:color="auto" w:sz="8" w:space="0"/>
              <w:right w:val="single" w:color="auto" w:sz="8" w:space="0"/>
            </w:tcBorders>
            <w:tcMar>
              <w:left w:w="108" w:type="dxa"/>
              <w:right w:w="108" w:type="dxa"/>
            </w:tcMar>
            <w:vAlign w:val="center"/>
          </w:tcPr>
          <w:p w:rsidR="4FFFE329" w:rsidRDefault="4FFFE329" w14:paraId="1AD3395A" w14:textId="3C1211AD">
            <w:r>
              <w:rPr>
                <w:noProof/>
              </w:rPr>
              <w:drawing>
                <wp:inline distT="0" distB="0" distL="0" distR="0" wp14:anchorId="600E8793" wp14:editId="45AF959A">
                  <wp:extent cx="581025" cy="590550"/>
                  <wp:effectExtent l="0" t="0" r="0" b="0"/>
                  <wp:docPr id="648809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09201" name=""/>
                          <pic:cNvPicPr/>
                        </pic:nvPicPr>
                        <pic:blipFill>
                          <a:blip r:embed="rId12">
                            <a:extLst>
                              <a:ext uri="{28A0092B-C50C-407E-A947-70E740481C1C}">
                                <a14:useLocalDpi xmlns:a14="http://schemas.microsoft.com/office/drawing/2010/main" val="0"/>
                              </a:ext>
                            </a:extLst>
                          </a:blip>
                          <a:stretch>
                            <a:fillRect/>
                          </a:stretch>
                        </pic:blipFill>
                        <pic:spPr>
                          <a:xfrm>
                            <a:off x="0" y="0"/>
                            <a:ext cx="581025" cy="590550"/>
                          </a:xfrm>
                          <a:prstGeom prst="rect">
                            <a:avLst/>
                          </a:prstGeom>
                        </pic:spPr>
                      </pic:pic>
                    </a:graphicData>
                  </a:graphic>
                </wp:inline>
              </w:drawing>
            </w:r>
          </w:p>
        </w:tc>
        <w:tc>
          <w:tcPr>
            <w:tcW w:w="1166" w:type="dxa"/>
            <w:tcBorders>
              <w:top w:val="nil"/>
              <w:left w:val="single" w:color="auto" w:sz="8" w:space="0"/>
              <w:bottom w:val="single" w:color="auto" w:sz="8" w:space="0"/>
              <w:right w:val="single" w:color="auto" w:sz="8" w:space="0"/>
            </w:tcBorders>
            <w:tcMar>
              <w:left w:w="108" w:type="dxa"/>
              <w:right w:w="108" w:type="dxa"/>
            </w:tcMar>
            <w:vAlign w:val="center"/>
          </w:tcPr>
          <w:p w:rsidR="4FFFE329" w:rsidRDefault="4FFFE329" w14:paraId="6D21593E" w14:textId="0B9C0EFD"/>
        </w:tc>
        <w:tc>
          <w:tcPr>
            <w:tcW w:w="1166" w:type="dxa"/>
            <w:tcBorders>
              <w:top w:val="nil"/>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1E489670" w14:textId="2443AECF">
            <w:r w:rsidRPr="48E433DB">
              <w:rPr>
                <w:rFonts w:ascii="Cambria" w:hAnsi="Cambria" w:eastAsia="Cambria" w:cs="Cambria"/>
                <w:lang w:val="ro"/>
              </w:rPr>
              <w:t xml:space="preserve"> </w:t>
            </w:r>
          </w:p>
        </w:tc>
        <w:tc>
          <w:tcPr>
            <w:tcW w:w="1165" w:type="dxa"/>
            <w:tcBorders>
              <w:top w:val="nil"/>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22008834" w14:textId="3F0EBF0A">
            <w:r w:rsidRPr="48E433DB">
              <w:rPr>
                <w:rFonts w:ascii="Cambria" w:hAnsi="Cambria" w:eastAsia="Cambria" w:cs="Cambria"/>
                <w:lang w:val="ro"/>
              </w:rPr>
              <w:t xml:space="preserve"> </w:t>
            </w:r>
          </w:p>
        </w:tc>
        <w:tc>
          <w:tcPr>
            <w:tcW w:w="1166" w:type="dxa"/>
            <w:tcBorders>
              <w:top w:val="nil"/>
              <w:left w:val="single" w:color="auto" w:sz="8" w:space="0"/>
              <w:bottom w:val="single" w:color="auto" w:sz="8" w:space="0"/>
              <w:right w:val="single" w:color="auto" w:sz="8" w:space="0"/>
            </w:tcBorders>
            <w:tcMar>
              <w:left w:w="108" w:type="dxa"/>
              <w:right w:w="108" w:type="dxa"/>
            </w:tcMar>
            <w:vAlign w:val="center"/>
          </w:tcPr>
          <w:p w:rsidR="00C27104" w:rsidRDefault="00C27104" w14:paraId="25693043" w14:textId="1F0CA5C6"/>
        </w:tc>
        <w:tc>
          <w:tcPr>
            <w:tcW w:w="1166" w:type="dxa"/>
            <w:tcBorders>
              <w:top w:val="nil"/>
              <w:left w:val="single" w:color="auto" w:sz="8" w:space="0"/>
              <w:bottom w:val="single" w:color="auto" w:sz="8" w:space="0"/>
              <w:right w:val="single" w:color="auto" w:sz="8" w:space="0"/>
            </w:tcBorders>
            <w:tcMar>
              <w:left w:w="108" w:type="dxa"/>
              <w:right w:w="108" w:type="dxa"/>
            </w:tcMar>
            <w:vAlign w:val="center"/>
          </w:tcPr>
          <w:p w:rsidR="48E433DB" w:rsidP="48E433DB" w:rsidRDefault="48E433DB" w14:paraId="4E215F74" w14:textId="24E2EB94">
            <w:r w:rsidRPr="48E433DB">
              <w:rPr>
                <w:rFonts w:ascii="Cambria" w:hAnsi="Cambria" w:eastAsia="Cambria" w:cs="Cambria"/>
                <w:lang w:val="ro"/>
              </w:rPr>
              <w:t xml:space="preserve"> </w:t>
            </w:r>
          </w:p>
        </w:tc>
      </w:tr>
    </w:tbl>
    <w:p w:rsidR="30D7C36A" w:rsidRDefault="30D7C36A" w14:paraId="0950F757" w14:textId="352C7EB6"/>
    <w:p w:rsidR="006A3DD3" w:rsidP="48E433DB" w:rsidRDefault="006A3DD3" w14:paraId="4B2FD2DA" w14:textId="61B6B537">
      <w:pPr>
        <w:spacing w:after="0"/>
        <w:ind w:hanging="425"/>
        <w:rPr>
          <w:rFonts w:ascii="Cambria" w:hAnsi="Cambria"/>
          <w:b/>
          <w:bCs/>
          <w:sz w:val="20"/>
          <w:szCs w:val="20"/>
        </w:rPr>
      </w:pPr>
    </w:p>
    <w:p w:rsidR="003C197C" w:rsidP="48E433DB" w:rsidRDefault="003C197C" w14:paraId="130C6DD3" w14:textId="77777777">
      <w:pPr>
        <w:spacing w:after="0"/>
        <w:ind w:hanging="425"/>
        <w:rPr>
          <w:rFonts w:ascii="Cambria" w:hAnsi="Cambria"/>
          <w:b/>
          <w:bCs/>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5616"/>
        <w:gridCol w:w="1330"/>
      </w:tblGrid>
      <w:tr w:rsidRPr="003C197C" w:rsidR="0059576D" w:rsidTr="00A50B62" w14:paraId="2195F4D4" w14:textId="77777777">
        <w:trPr>
          <w:gridAfter w:val="1"/>
          <w:wAfter w:w="1330" w:type="dxa"/>
          <w:trHeight w:val="300"/>
        </w:trPr>
        <w:tc>
          <w:tcPr>
            <w:tcW w:w="3545" w:type="dxa"/>
            <w:shd w:val="clear" w:color="auto" w:fill="FFFFFF" w:themeFill="background1"/>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145BE5BE" w14:paraId="6F85EC4B" w14:textId="6FD4B3DA">
            <w:pPr>
              <w:rPr>
                <w:rFonts w:ascii="Cambria" w:hAnsi="Cambria"/>
              </w:rPr>
            </w:pPr>
            <w:r w:rsidRPr="30D7C36A">
              <w:rPr>
                <w:rFonts w:ascii="Cambria" w:hAnsi="Cambria"/>
              </w:rPr>
              <w:t>09.02.2026</w:t>
            </w:r>
          </w:p>
        </w:tc>
        <w:tc>
          <w:tcPr>
            <w:tcW w:w="5616" w:type="dxa"/>
            <w:shd w:val="clear" w:color="auto" w:fill="FFFFFF" w:themeFill="background1"/>
          </w:tcPr>
          <w:p w:rsidRPr="003C197C" w:rsidR="0059576D" w:rsidP="00C0333B" w:rsidRDefault="0059576D" w14:paraId="0F5C8287" w14:textId="2F476C48">
            <w:pPr>
              <w:spacing w:line="480" w:lineRule="auto"/>
              <w:rPr>
                <w:rFonts w:ascii="Cambria" w:hAnsi="Cambria"/>
              </w:rPr>
            </w:pPr>
            <w:r w:rsidRPr="003C197C">
              <w:rPr>
                <w:rFonts w:ascii="Cambria" w:hAnsi="Cambria"/>
              </w:rPr>
              <w:t>Semnătura titularului de cur</w:t>
            </w:r>
            <w:r w:rsidR="00261098">
              <w:rPr>
                <w:rFonts w:ascii="Cambria" w:hAnsi="Cambria"/>
              </w:rPr>
              <w:t>s: Liana Precup</w:t>
            </w:r>
          </w:p>
        </w:tc>
      </w:tr>
      <w:tr w:rsidRPr="003C197C" w:rsidR="006B6ABF" w:rsidTr="30D7C36A" w14:paraId="5931DBEE" w14:textId="77777777">
        <w:trPr>
          <w:trHeight w:val="300"/>
        </w:trPr>
        <w:tc>
          <w:tcPr>
            <w:tcW w:w="3545" w:type="dxa"/>
            <w:shd w:val="clear" w:color="auto" w:fill="FFFFFF" w:themeFill="background1"/>
          </w:tcPr>
          <w:p w:rsidRPr="003C197C" w:rsidR="003C197C" w:rsidP="00C0333B" w:rsidRDefault="6B405F9E" w14:paraId="13CC825D" w14:textId="77777777">
            <w:pPr>
              <w:rPr>
                <w:rFonts w:ascii="Cambria" w:hAnsi="Cambria"/>
              </w:rPr>
            </w:pPr>
            <w:r w:rsidRPr="30D7C36A">
              <w:rPr>
                <w:rFonts w:ascii="Cambria" w:hAnsi="Cambria"/>
              </w:rPr>
              <w:t>Data avizării în departament:</w:t>
            </w:r>
          </w:p>
          <w:p w:rsidRPr="003C197C" w:rsidR="003C197C" w:rsidP="30D7C36A" w:rsidRDefault="006D5AAA" w14:paraId="372D0A6C" w14:textId="62EC5F33">
            <w:pPr>
              <w:spacing w:line="480" w:lineRule="auto"/>
              <w:rPr>
                <w:rFonts w:ascii="Cambria" w:hAnsi="Cambria"/>
              </w:rPr>
            </w:pPr>
            <w:r>
              <w:rPr>
                <w:rFonts w:ascii="Cambria" w:hAnsi="Cambria"/>
              </w:rPr>
              <w:t>10</w:t>
            </w:r>
            <w:r w:rsidRPr="30D7C36A" w:rsidR="5A43E82C">
              <w:rPr>
                <w:rFonts w:ascii="Cambria" w:hAnsi="Cambria"/>
              </w:rPr>
              <w:t>.02.2026</w:t>
            </w:r>
          </w:p>
          <w:p w:rsidRPr="003C197C" w:rsidR="003C197C" w:rsidP="00C0333B" w:rsidRDefault="003C197C" w14:paraId="714DB94C" w14:textId="043E416E">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69B83A58">
            <w:pPr>
              <w:spacing w:line="480" w:lineRule="auto"/>
              <w:rPr>
                <w:rFonts w:ascii="Cambria" w:hAnsi="Cambria"/>
              </w:rPr>
            </w:pPr>
            <w:r w:rsidRPr="003C197C">
              <w:rPr>
                <w:rFonts w:ascii="Cambria" w:hAnsi="Cambria"/>
              </w:rPr>
              <w:t>Semnătura directorului de departament</w:t>
            </w:r>
            <w:r w:rsidR="00A50B62">
              <w:rPr>
                <w:rFonts w:ascii="Cambria" w:hAnsi="Cambria"/>
              </w:rPr>
              <w:t>: Ionut Foldes</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A36" w:rsidP="00D12BC3" w:rsidRDefault="006A4A36" w14:paraId="170AB8D8" w14:textId="77777777">
      <w:pPr>
        <w:spacing w:after="0" w:line="240" w:lineRule="auto"/>
      </w:pPr>
      <w:r>
        <w:separator/>
      </w:r>
    </w:p>
  </w:endnote>
  <w:endnote w:type="continuationSeparator" w:id="0">
    <w:p w:rsidR="006A4A36" w:rsidP="00D12BC3" w:rsidRDefault="006A4A36" w14:paraId="76A040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A36" w:rsidP="00D12BC3" w:rsidRDefault="006A4A36" w14:paraId="45B0386B" w14:textId="77777777">
      <w:pPr>
        <w:spacing w:after="0" w:line="240" w:lineRule="auto"/>
      </w:pPr>
      <w:r>
        <w:separator/>
      </w:r>
    </w:p>
  </w:footnote>
  <w:footnote w:type="continuationSeparator" w:id="0">
    <w:p w:rsidR="006A4A36" w:rsidP="00D12BC3" w:rsidRDefault="006A4A36" w14:paraId="56704F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E871"/>
    <w:multiLevelType w:val="hybridMultilevel"/>
    <w:tmpl w:val="03DEC546"/>
    <w:lvl w:ilvl="0" w:tplc="ACB637E8">
      <w:start w:val="1"/>
      <w:numFmt w:val="bullet"/>
      <w:lvlText w:val="·"/>
      <w:lvlJc w:val="left"/>
      <w:pPr>
        <w:ind w:left="720" w:hanging="360"/>
      </w:pPr>
      <w:rPr>
        <w:rFonts w:hint="default" w:ascii="Symbol" w:hAnsi="Symbol"/>
      </w:rPr>
    </w:lvl>
    <w:lvl w:ilvl="1" w:tplc="085E6D8C">
      <w:start w:val="1"/>
      <w:numFmt w:val="bullet"/>
      <w:lvlText w:val="o"/>
      <w:lvlJc w:val="left"/>
      <w:pPr>
        <w:ind w:left="1440" w:hanging="360"/>
      </w:pPr>
      <w:rPr>
        <w:rFonts w:hint="default" w:ascii="Courier New" w:hAnsi="Courier New"/>
      </w:rPr>
    </w:lvl>
    <w:lvl w:ilvl="2" w:tplc="2296478C">
      <w:start w:val="1"/>
      <w:numFmt w:val="bullet"/>
      <w:lvlText w:val=""/>
      <w:lvlJc w:val="left"/>
      <w:pPr>
        <w:ind w:left="2160" w:hanging="360"/>
      </w:pPr>
      <w:rPr>
        <w:rFonts w:hint="default" w:ascii="Wingdings" w:hAnsi="Wingdings"/>
      </w:rPr>
    </w:lvl>
    <w:lvl w:ilvl="3" w:tplc="130AB028">
      <w:start w:val="1"/>
      <w:numFmt w:val="bullet"/>
      <w:lvlText w:val=""/>
      <w:lvlJc w:val="left"/>
      <w:pPr>
        <w:ind w:left="2880" w:hanging="360"/>
      </w:pPr>
      <w:rPr>
        <w:rFonts w:hint="default" w:ascii="Symbol" w:hAnsi="Symbol"/>
      </w:rPr>
    </w:lvl>
    <w:lvl w:ilvl="4" w:tplc="77EC1E9C">
      <w:start w:val="1"/>
      <w:numFmt w:val="bullet"/>
      <w:lvlText w:val="o"/>
      <w:lvlJc w:val="left"/>
      <w:pPr>
        <w:ind w:left="3600" w:hanging="360"/>
      </w:pPr>
      <w:rPr>
        <w:rFonts w:hint="default" w:ascii="Courier New" w:hAnsi="Courier New"/>
      </w:rPr>
    </w:lvl>
    <w:lvl w:ilvl="5" w:tplc="8E968F64">
      <w:start w:val="1"/>
      <w:numFmt w:val="bullet"/>
      <w:lvlText w:val=""/>
      <w:lvlJc w:val="left"/>
      <w:pPr>
        <w:ind w:left="4320" w:hanging="360"/>
      </w:pPr>
      <w:rPr>
        <w:rFonts w:hint="default" w:ascii="Wingdings" w:hAnsi="Wingdings"/>
      </w:rPr>
    </w:lvl>
    <w:lvl w:ilvl="6" w:tplc="5B94CE90">
      <w:start w:val="1"/>
      <w:numFmt w:val="bullet"/>
      <w:lvlText w:val=""/>
      <w:lvlJc w:val="left"/>
      <w:pPr>
        <w:ind w:left="5040" w:hanging="360"/>
      </w:pPr>
      <w:rPr>
        <w:rFonts w:hint="default" w:ascii="Symbol" w:hAnsi="Symbol"/>
      </w:rPr>
    </w:lvl>
    <w:lvl w:ilvl="7" w:tplc="0DDAC21A">
      <w:start w:val="1"/>
      <w:numFmt w:val="bullet"/>
      <w:lvlText w:val="o"/>
      <w:lvlJc w:val="left"/>
      <w:pPr>
        <w:ind w:left="5760" w:hanging="360"/>
      </w:pPr>
      <w:rPr>
        <w:rFonts w:hint="default" w:ascii="Courier New" w:hAnsi="Courier New"/>
      </w:rPr>
    </w:lvl>
    <w:lvl w:ilvl="8" w:tplc="06B47060">
      <w:start w:val="1"/>
      <w:numFmt w:val="bullet"/>
      <w:lvlText w:val=""/>
      <w:lvlJc w:val="left"/>
      <w:pPr>
        <w:ind w:left="6480" w:hanging="360"/>
      </w:pPr>
      <w:rPr>
        <w:rFonts w:hint="default" w:ascii="Wingdings" w:hAnsi="Wingdings"/>
      </w:rPr>
    </w:lvl>
  </w:abstractNum>
  <w:abstractNum w:abstractNumId="1" w15:restartNumberingAfterBreak="0">
    <w:nsid w:val="158E51BE"/>
    <w:multiLevelType w:val="hybridMultilevel"/>
    <w:tmpl w:val="C11AA7A2"/>
    <w:lvl w:ilvl="0" w:tplc="94CE07DE">
      <w:start w:val="1"/>
      <w:numFmt w:val="bullet"/>
      <w:lvlText w:val="·"/>
      <w:lvlJc w:val="left"/>
      <w:pPr>
        <w:ind w:left="720" w:hanging="360"/>
      </w:pPr>
      <w:rPr>
        <w:rFonts w:hint="default" w:ascii="Symbol" w:hAnsi="Symbol"/>
      </w:rPr>
    </w:lvl>
    <w:lvl w:ilvl="1" w:tplc="40648E6A">
      <w:start w:val="1"/>
      <w:numFmt w:val="bullet"/>
      <w:lvlText w:val="o"/>
      <w:lvlJc w:val="left"/>
      <w:pPr>
        <w:ind w:left="1440" w:hanging="360"/>
      </w:pPr>
      <w:rPr>
        <w:rFonts w:hint="default" w:ascii="Courier New" w:hAnsi="Courier New"/>
      </w:rPr>
    </w:lvl>
    <w:lvl w:ilvl="2" w:tplc="F49A594C">
      <w:start w:val="1"/>
      <w:numFmt w:val="bullet"/>
      <w:lvlText w:val=""/>
      <w:lvlJc w:val="left"/>
      <w:pPr>
        <w:ind w:left="2160" w:hanging="360"/>
      </w:pPr>
      <w:rPr>
        <w:rFonts w:hint="default" w:ascii="Wingdings" w:hAnsi="Wingdings"/>
      </w:rPr>
    </w:lvl>
    <w:lvl w:ilvl="3" w:tplc="3C0C1DDC">
      <w:start w:val="1"/>
      <w:numFmt w:val="bullet"/>
      <w:lvlText w:val=""/>
      <w:lvlJc w:val="left"/>
      <w:pPr>
        <w:ind w:left="2880" w:hanging="360"/>
      </w:pPr>
      <w:rPr>
        <w:rFonts w:hint="default" w:ascii="Symbol" w:hAnsi="Symbol"/>
      </w:rPr>
    </w:lvl>
    <w:lvl w:ilvl="4" w:tplc="ECA6319E">
      <w:start w:val="1"/>
      <w:numFmt w:val="bullet"/>
      <w:lvlText w:val="o"/>
      <w:lvlJc w:val="left"/>
      <w:pPr>
        <w:ind w:left="3600" w:hanging="360"/>
      </w:pPr>
      <w:rPr>
        <w:rFonts w:hint="default" w:ascii="Courier New" w:hAnsi="Courier New"/>
      </w:rPr>
    </w:lvl>
    <w:lvl w:ilvl="5" w:tplc="D606224C">
      <w:start w:val="1"/>
      <w:numFmt w:val="bullet"/>
      <w:lvlText w:val=""/>
      <w:lvlJc w:val="left"/>
      <w:pPr>
        <w:ind w:left="4320" w:hanging="360"/>
      </w:pPr>
      <w:rPr>
        <w:rFonts w:hint="default" w:ascii="Wingdings" w:hAnsi="Wingdings"/>
      </w:rPr>
    </w:lvl>
    <w:lvl w:ilvl="6" w:tplc="4348B520">
      <w:start w:val="1"/>
      <w:numFmt w:val="bullet"/>
      <w:lvlText w:val=""/>
      <w:lvlJc w:val="left"/>
      <w:pPr>
        <w:ind w:left="5040" w:hanging="360"/>
      </w:pPr>
      <w:rPr>
        <w:rFonts w:hint="default" w:ascii="Symbol" w:hAnsi="Symbol"/>
      </w:rPr>
    </w:lvl>
    <w:lvl w:ilvl="7" w:tplc="FB6877DA">
      <w:start w:val="1"/>
      <w:numFmt w:val="bullet"/>
      <w:lvlText w:val="o"/>
      <w:lvlJc w:val="left"/>
      <w:pPr>
        <w:ind w:left="5760" w:hanging="360"/>
      </w:pPr>
      <w:rPr>
        <w:rFonts w:hint="default" w:ascii="Courier New" w:hAnsi="Courier New"/>
      </w:rPr>
    </w:lvl>
    <w:lvl w:ilvl="8" w:tplc="659A39C6">
      <w:start w:val="1"/>
      <w:numFmt w:val="bullet"/>
      <w:lvlText w:val=""/>
      <w:lvlJc w:val="left"/>
      <w:pPr>
        <w:ind w:left="6480" w:hanging="360"/>
      </w:pPr>
      <w:rPr>
        <w:rFonts w:hint="default" w:ascii="Wingdings" w:hAnsi="Wingdings"/>
      </w:r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393F2F9"/>
    <w:multiLevelType w:val="hybridMultilevel"/>
    <w:tmpl w:val="AB00CCE4"/>
    <w:lvl w:ilvl="0" w:tplc="EE4C5C88">
      <w:start w:val="1"/>
      <w:numFmt w:val="decimal"/>
      <w:lvlText w:val="%1."/>
      <w:lvlJc w:val="left"/>
      <w:pPr>
        <w:ind w:left="720" w:hanging="360"/>
      </w:pPr>
    </w:lvl>
    <w:lvl w:ilvl="1" w:tplc="3A7C2CDE">
      <w:start w:val="1"/>
      <w:numFmt w:val="lowerLetter"/>
      <w:lvlText w:val="%2."/>
      <w:lvlJc w:val="left"/>
      <w:pPr>
        <w:ind w:left="1440" w:hanging="360"/>
      </w:pPr>
    </w:lvl>
    <w:lvl w:ilvl="2" w:tplc="9C60850C">
      <w:start w:val="1"/>
      <w:numFmt w:val="lowerRoman"/>
      <w:lvlText w:val="%3."/>
      <w:lvlJc w:val="right"/>
      <w:pPr>
        <w:ind w:left="2160" w:hanging="180"/>
      </w:pPr>
    </w:lvl>
    <w:lvl w:ilvl="3" w:tplc="A254E5FC">
      <w:start w:val="1"/>
      <w:numFmt w:val="decimal"/>
      <w:lvlText w:val="%4."/>
      <w:lvlJc w:val="left"/>
      <w:pPr>
        <w:ind w:left="2880" w:hanging="360"/>
      </w:pPr>
    </w:lvl>
    <w:lvl w:ilvl="4" w:tplc="8BA855C8">
      <w:start w:val="1"/>
      <w:numFmt w:val="lowerLetter"/>
      <w:lvlText w:val="%5."/>
      <w:lvlJc w:val="left"/>
      <w:pPr>
        <w:ind w:left="3600" w:hanging="360"/>
      </w:pPr>
    </w:lvl>
    <w:lvl w:ilvl="5" w:tplc="626EA004">
      <w:start w:val="1"/>
      <w:numFmt w:val="lowerRoman"/>
      <w:lvlText w:val="%6."/>
      <w:lvlJc w:val="right"/>
      <w:pPr>
        <w:ind w:left="4320" w:hanging="180"/>
      </w:pPr>
    </w:lvl>
    <w:lvl w:ilvl="6" w:tplc="453A4F9E">
      <w:start w:val="1"/>
      <w:numFmt w:val="decimal"/>
      <w:lvlText w:val="%7."/>
      <w:lvlJc w:val="left"/>
      <w:pPr>
        <w:ind w:left="5040" w:hanging="360"/>
      </w:pPr>
    </w:lvl>
    <w:lvl w:ilvl="7" w:tplc="E3ACEB58">
      <w:start w:val="1"/>
      <w:numFmt w:val="lowerLetter"/>
      <w:lvlText w:val="%8."/>
      <w:lvlJc w:val="left"/>
      <w:pPr>
        <w:ind w:left="5760" w:hanging="360"/>
      </w:pPr>
    </w:lvl>
    <w:lvl w:ilvl="8" w:tplc="57C0E5F6">
      <w:start w:val="1"/>
      <w:numFmt w:val="lowerRoman"/>
      <w:lvlText w:val="%9."/>
      <w:lvlJc w:val="right"/>
      <w:pPr>
        <w:ind w:left="6480" w:hanging="180"/>
      </w:p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4402244">
    <w:abstractNumId w:val="5"/>
  </w:num>
  <w:num w:numId="2" w16cid:durableId="1733499553">
    <w:abstractNumId w:val="0"/>
  </w:num>
  <w:num w:numId="3" w16cid:durableId="1620721974">
    <w:abstractNumId w:val="1"/>
  </w:num>
  <w:num w:numId="4" w16cid:durableId="802699678">
    <w:abstractNumId w:val="3"/>
  </w:num>
  <w:num w:numId="5" w16cid:durableId="421922726">
    <w:abstractNumId w:val="2"/>
  </w:num>
  <w:num w:numId="6" w16cid:durableId="1741975505">
    <w:abstractNumId w:val="4"/>
  </w:num>
  <w:num w:numId="7" w16cid:durableId="1498227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14B4E"/>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276B"/>
    <w:rsid w:val="001346BE"/>
    <w:rsid w:val="00145D0A"/>
    <w:rsid w:val="00150F30"/>
    <w:rsid w:val="00155A52"/>
    <w:rsid w:val="00165C35"/>
    <w:rsid w:val="001914D4"/>
    <w:rsid w:val="00196393"/>
    <w:rsid w:val="0019757E"/>
    <w:rsid w:val="001A4A04"/>
    <w:rsid w:val="001A50C5"/>
    <w:rsid w:val="001B62D3"/>
    <w:rsid w:val="001C2668"/>
    <w:rsid w:val="001C4E64"/>
    <w:rsid w:val="001F2349"/>
    <w:rsid w:val="001F33EF"/>
    <w:rsid w:val="00201EE0"/>
    <w:rsid w:val="00221B6D"/>
    <w:rsid w:val="00222340"/>
    <w:rsid w:val="002315D2"/>
    <w:rsid w:val="0023621D"/>
    <w:rsid w:val="00242E53"/>
    <w:rsid w:val="00250293"/>
    <w:rsid w:val="0025084E"/>
    <w:rsid w:val="00250F88"/>
    <w:rsid w:val="002518F3"/>
    <w:rsid w:val="00260F93"/>
    <w:rsid w:val="00261098"/>
    <w:rsid w:val="00261BF1"/>
    <w:rsid w:val="002659D3"/>
    <w:rsid w:val="00273287"/>
    <w:rsid w:val="002A3A93"/>
    <w:rsid w:val="002B298E"/>
    <w:rsid w:val="002B38EF"/>
    <w:rsid w:val="002B3B45"/>
    <w:rsid w:val="002B5D2C"/>
    <w:rsid w:val="002C2A67"/>
    <w:rsid w:val="002D19B2"/>
    <w:rsid w:val="002D3531"/>
    <w:rsid w:val="002D5FCA"/>
    <w:rsid w:val="002E190E"/>
    <w:rsid w:val="002E196F"/>
    <w:rsid w:val="002E2D93"/>
    <w:rsid w:val="002E4459"/>
    <w:rsid w:val="00301E97"/>
    <w:rsid w:val="00310344"/>
    <w:rsid w:val="0032092C"/>
    <w:rsid w:val="00351944"/>
    <w:rsid w:val="0035421D"/>
    <w:rsid w:val="00357598"/>
    <w:rsid w:val="00366881"/>
    <w:rsid w:val="00366BFD"/>
    <w:rsid w:val="00370DF5"/>
    <w:rsid w:val="00377A3B"/>
    <w:rsid w:val="003825DE"/>
    <w:rsid w:val="0039378F"/>
    <w:rsid w:val="003A1213"/>
    <w:rsid w:val="003B6EE4"/>
    <w:rsid w:val="003C135D"/>
    <w:rsid w:val="003C197C"/>
    <w:rsid w:val="003C47C3"/>
    <w:rsid w:val="003D7F8A"/>
    <w:rsid w:val="003E7D6F"/>
    <w:rsid w:val="003F481E"/>
    <w:rsid w:val="003F4D1E"/>
    <w:rsid w:val="003F659E"/>
    <w:rsid w:val="0040441A"/>
    <w:rsid w:val="00405204"/>
    <w:rsid w:val="0042330E"/>
    <w:rsid w:val="00426637"/>
    <w:rsid w:val="00443956"/>
    <w:rsid w:val="00453436"/>
    <w:rsid w:val="004613CA"/>
    <w:rsid w:val="00463347"/>
    <w:rsid w:val="004675C5"/>
    <w:rsid w:val="00477B29"/>
    <w:rsid w:val="004D2236"/>
    <w:rsid w:val="004D413E"/>
    <w:rsid w:val="004E11FF"/>
    <w:rsid w:val="004E2C1F"/>
    <w:rsid w:val="004E578B"/>
    <w:rsid w:val="004F45E5"/>
    <w:rsid w:val="004F4B37"/>
    <w:rsid w:val="0050720F"/>
    <w:rsid w:val="0051110E"/>
    <w:rsid w:val="00511D93"/>
    <w:rsid w:val="00513195"/>
    <w:rsid w:val="00520E30"/>
    <w:rsid w:val="00532EB2"/>
    <w:rsid w:val="00540A37"/>
    <w:rsid w:val="00551CC4"/>
    <w:rsid w:val="0055290A"/>
    <w:rsid w:val="00560A34"/>
    <w:rsid w:val="00561BEA"/>
    <w:rsid w:val="00571B7E"/>
    <w:rsid w:val="00574FBA"/>
    <w:rsid w:val="00586682"/>
    <w:rsid w:val="0059576D"/>
    <w:rsid w:val="005B2068"/>
    <w:rsid w:val="005B2BEB"/>
    <w:rsid w:val="005B66A9"/>
    <w:rsid w:val="005E100B"/>
    <w:rsid w:val="005E1610"/>
    <w:rsid w:val="005F30A6"/>
    <w:rsid w:val="006016CF"/>
    <w:rsid w:val="00606962"/>
    <w:rsid w:val="006311EE"/>
    <w:rsid w:val="00632190"/>
    <w:rsid w:val="0064006C"/>
    <w:rsid w:val="00670D17"/>
    <w:rsid w:val="00671A16"/>
    <w:rsid w:val="00680053"/>
    <w:rsid w:val="006840CE"/>
    <w:rsid w:val="00687EE7"/>
    <w:rsid w:val="00694E26"/>
    <w:rsid w:val="006A3DD3"/>
    <w:rsid w:val="006A4A36"/>
    <w:rsid w:val="006B2EAE"/>
    <w:rsid w:val="006B6ABF"/>
    <w:rsid w:val="006D5AAA"/>
    <w:rsid w:val="006D648A"/>
    <w:rsid w:val="006E276B"/>
    <w:rsid w:val="006E7114"/>
    <w:rsid w:val="006F32EA"/>
    <w:rsid w:val="00706E3A"/>
    <w:rsid w:val="00713A88"/>
    <w:rsid w:val="0073126D"/>
    <w:rsid w:val="007342EF"/>
    <w:rsid w:val="0074223A"/>
    <w:rsid w:val="007526F3"/>
    <w:rsid w:val="007566DE"/>
    <w:rsid w:val="00787AF9"/>
    <w:rsid w:val="007965C1"/>
    <w:rsid w:val="00796905"/>
    <w:rsid w:val="007C7E50"/>
    <w:rsid w:val="007D0416"/>
    <w:rsid w:val="007D6BE3"/>
    <w:rsid w:val="008119F8"/>
    <w:rsid w:val="00820A4F"/>
    <w:rsid w:val="008231B0"/>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8F6903"/>
    <w:rsid w:val="0092E41C"/>
    <w:rsid w:val="00936988"/>
    <w:rsid w:val="009401B8"/>
    <w:rsid w:val="00944A03"/>
    <w:rsid w:val="009508B1"/>
    <w:rsid w:val="00981061"/>
    <w:rsid w:val="00996BA6"/>
    <w:rsid w:val="00996E5F"/>
    <w:rsid w:val="009B730B"/>
    <w:rsid w:val="009E1969"/>
    <w:rsid w:val="009F6D96"/>
    <w:rsid w:val="00A00C21"/>
    <w:rsid w:val="00A16B7E"/>
    <w:rsid w:val="00A2132C"/>
    <w:rsid w:val="00A23D3E"/>
    <w:rsid w:val="00A24211"/>
    <w:rsid w:val="00A30F6F"/>
    <w:rsid w:val="00A36CEA"/>
    <w:rsid w:val="00A4215F"/>
    <w:rsid w:val="00A50B62"/>
    <w:rsid w:val="00A713B0"/>
    <w:rsid w:val="00A74D64"/>
    <w:rsid w:val="00A81EB6"/>
    <w:rsid w:val="00A82450"/>
    <w:rsid w:val="00A93744"/>
    <w:rsid w:val="00AABCE7"/>
    <w:rsid w:val="00AB0DE7"/>
    <w:rsid w:val="00AB3BFD"/>
    <w:rsid w:val="00ACF253"/>
    <w:rsid w:val="00AE5FC2"/>
    <w:rsid w:val="00B0235E"/>
    <w:rsid w:val="00B417DB"/>
    <w:rsid w:val="00B73B81"/>
    <w:rsid w:val="00BC7CDE"/>
    <w:rsid w:val="00BD3CB2"/>
    <w:rsid w:val="00BE3534"/>
    <w:rsid w:val="00BF17DD"/>
    <w:rsid w:val="00BF2C1C"/>
    <w:rsid w:val="00BF4F61"/>
    <w:rsid w:val="00C02345"/>
    <w:rsid w:val="00C0333B"/>
    <w:rsid w:val="00C1453F"/>
    <w:rsid w:val="00C163AF"/>
    <w:rsid w:val="00C27104"/>
    <w:rsid w:val="00C27291"/>
    <w:rsid w:val="00C3571C"/>
    <w:rsid w:val="00C4607F"/>
    <w:rsid w:val="00C50464"/>
    <w:rsid w:val="00C76710"/>
    <w:rsid w:val="00C9513E"/>
    <w:rsid w:val="00CA412A"/>
    <w:rsid w:val="00CB66F3"/>
    <w:rsid w:val="00CC781A"/>
    <w:rsid w:val="00CE2BF2"/>
    <w:rsid w:val="00D00111"/>
    <w:rsid w:val="00D06D01"/>
    <w:rsid w:val="00D12BC3"/>
    <w:rsid w:val="00D21528"/>
    <w:rsid w:val="00D2397E"/>
    <w:rsid w:val="00D44828"/>
    <w:rsid w:val="00D51618"/>
    <w:rsid w:val="00D60DDF"/>
    <w:rsid w:val="00D70267"/>
    <w:rsid w:val="00D80899"/>
    <w:rsid w:val="00D94607"/>
    <w:rsid w:val="00DA2069"/>
    <w:rsid w:val="00DB08E5"/>
    <w:rsid w:val="00DC236E"/>
    <w:rsid w:val="00DD2809"/>
    <w:rsid w:val="00DE6B49"/>
    <w:rsid w:val="00DE7243"/>
    <w:rsid w:val="00DF59AB"/>
    <w:rsid w:val="00E027F6"/>
    <w:rsid w:val="00E03DC8"/>
    <w:rsid w:val="00E27C90"/>
    <w:rsid w:val="00E31810"/>
    <w:rsid w:val="00E463DB"/>
    <w:rsid w:val="00E54B8B"/>
    <w:rsid w:val="00E56D7A"/>
    <w:rsid w:val="00E674CE"/>
    <w:rsid w:val="00E724BA"/>
    <w:rsid w:val="00E80ED0"/>
    <w:rsid w:val="00E815AB"/>
    <w:rsid w:val="00EB18DB"/>
    <w:rsid w:val="00EB3C8C"/>
    <w:rsid w:val="00EE73AE"/>
    <w:rsid w:val="00EF1903"/>
    <w:rsid w:val="00EF7B22"/>
    <w:rsid w:val="00F01F2B"/>
    <w:rsid w:val="00F33024"/>
    <w:rsid w:val="00F44AE4"/>
    <w:rsid w:val="00F52A38"/>
    <w:rsid w:val="00F65EFF"/>
    <w:rsid w:val="00F66FE6"/>
    <w:rsid w:val="00F7079A"/>
    <w:rsid w:val="00F708DA"/>
    <w:rsid w:val="00F76D8F"/>
    <w:rsid w:val="00F81966"/>
    <w:rsid w:val="00F85E5C"/>
    <w:rsid w:val="00F974CE"/>
    <w:rsid w:val="00FA3D17"/>
    <w:rsid w:val="00FA7471"/>
    <w:rsid w:val="00FB0B8A"/>
    <w:rsid w:val="00FB5485"/>
    <w:rsid w:val="00FC204E"/>
    <w:rsid w:val="00FD2E02"/>
    <w:rsid w:val="00FD3B76"/>
    <w:rsid w:val="00FE579A"/>
    <w:rsid w:val="019437CC"/>
    <w:rsid w:val="01A22E95"/>
    <w:rsid w:val="0217099D"/>
    <w:rsid w:val="040052B8"/>
    <w:rsid w:val="06EA1D5D"/>
    <w:rsid w:val="098324D5"/>
    <w:rsid w:val="0E72CA17"/>
    <w:rsid w:val="0F6A7240"/>
    <w:rsid w:val="13122DB3"/>
    <w:rsid w:val="145BE5BE"/>
    <w:rsid w:val="1583E066"/>
    <w:rsid w:val="16C7D705"/>
    <w:rsid w:val="17C67D87"/>
    <w:rsid w:val="1861FB84"/>
    <w:rsid w:val="1A12EA01"/>
    <w:rsid w:val="1BD4DB37"/>
    <w:rsid w:val="1C89B06C"/>
    <w:rsid w:val="205A5301"/>
    <w:rsid w:val="205E37BE"/>
    <w:rsid w:val="21FA00A5"/>
    <w:rsid w:val="229B7EAC"/>
    <w:rsid w:val="22B47B1B"/>
    <w:rsid w:val="2437F267"/>
    <w:rsid w:val="24B396EE"/>
    <w:rsid w:val="25099683"/>
    <w:rsid w:val="27882A63"/>
    <w:rsid w:val="29840EA7"/>
    <w:rsid w:val="2B7652F8"/>
    <w:rsid w:val="2CA886BF"/>
    <w:rsid w:val="2D1A3BAF"/>
    <w:rsid w:val="2D36466B"/>
    <w:rsid w:val="2F0DCF51"/>
    <w:rsid w:val="2F41B329"/>
    <w:rsid w:val="2F9B6FB4"/>
    <w:rsid w:val="309393C3"/>
    <w:rsid w:val="30D7C36A"/>
    <w:rsid w:val="318423C8"/>
    <w:rsid w:val="325E04E3"/>
    <w:rsid w:val="3607FADF"/>
    <w:rsid w:val="361C330B"/>
    <w:rsid w:val="375908F3"/>
    <w:rsid w:val="3847C037"/>
    <w:rsid w:val="3B2E6E7D"/>
    <w:rsid w:val="3C06AF98"/>
    <w:rsid w:val="3D15D1A6"/>
    <w:rsid w:val="3E1C7505"/>
    <w:rsid w:val="3E4E694C"/>
    <w:rsid w:val="3F4BF672"/>
    <w:rsid w:val="420F3A1E"/>
    <w:rsid w:val="429EB855"/>
    <w:rsid w:val="42E50140"/>
    <w:rsid w:val="471FFE80"/>
    <w:rsid w:val="48546C0E"/>
    <w:rsid w:val="48E433DB"/>
    <w:rsid w:val="4BDDBA53"/>
    <w:rsid w:val="4D97F6AF"/>
    <w:rsid w:val="4E1C3FC0"/>
    <w:rsid w:val="4F8013B3"/>
    <w:rsid w:val="4FFFE329"/>
    <w:rsid w:val="51BAA510"/>
    <w:rsid w:val="53EB8BB3"/>
    <w:rsid w:val="542A212B"/>
    <w:rsid w:val="56FDBE25"/>
    <w:rsid w:val="578D52B7"/>
    <w:rsid w:val="58CD9FB7"/>
    <w:rsid w:val="592DC91B"/>
    <w:rsid w:val="59A8C55A"/>
    <w:rsid w:val="59BB4511"/>
    <w:rsid w:val="5A43E82C"/>
    <w:rsid w:val="5B9EAC3C"/>
    <w:rsid w:val="5C13758D"/>
    <w:rsid w:val="5C2255CE"/>
    <w:rsid w:val="5E9C6D30"/>
    <w:rsid w:val="5FB9C5A8"/>
    <w:rsid w:val="62BF9212"/>
    <w:rsid w:val="6318B1FA"/>
    <w:rsid w:val="6427FD88"/>
    <w:rsid w:val="657346C9"/>
    <w:rsid w:val="66EFDB90"/>
    <w:rsid w:val="68D39C15"/>
    <w:rsid w:val="692B4C3B"/>
    <w:rsid w:val="6994CCDE"/>
    <w:rsid w:val="699B83F2"/>
    <w:rsid w:val="69A90400"/>
    <w:rsid w:val="6B405F9E"/>
    <w:rsid w:val="6F2E0201"/>
    <w:rsid w:val="6F325E57"/>
    <w:rsid w:val="708368D4"/>
    <w:rsid w:val="70DCA1EA"/>
    <w:rsid w:val="713CFF31"/>
    <w:rsid w:val="718FB992"/>
    <w:rsid w:val="73097A82"/>
    <w:rsid w:val="76817FEB"/>
    <w:rsid w:val="7730E29B"/>
    <w:rsid w:val="7792684E"/>
    <w:rsid w:val="7918D36A"/>
    <w:rsid w:val="7BFDECE9"/>
    <w:rsid w:val="7DD95745"/>
    <w:rsid w:val="7EECF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56</revision>
  <dcterms:created xsi:type="dcterms:W3CDTF">2025-07-30T11:18:00.0000000Z</dcterms:created>
  <dcterms:modified xsi:type="dcterms:W3CDTF">2026-02-16T11:01:00.9942757Z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fa95ae74-de38-4dc4-93a0-20f4380eb94b</vt:lpwstr>
  </property>
</Properties>
</file>