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246FB3" w14:paraId="73B2268A" w14:textId="1AB6E1E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Istoria gândirii sociale din România</w:t>
      </w:r>
    </w:p>
    <w:p w:rsidRPr="00600874" w:rsidR="00123B64" w:rsidP="00FB5485" w:rsidRDefault="00123B64" w14:paraId="147D6DE1" w14:textId="0E56E023">
      <w:pPr>
        <w:jc w:val="center"/>
        <w:rPr>
          <w:rFonts w:ascii="Cambria" w:hAnsi="Cambria"/>
        </w:rPr>
      </w:pPr>
      <w:r w:rsidRPr="6EEE9562" w:rsidR="00123B64">
        <w:rPr>
          <w:rFonts w:ascii="Cambria" w:hAnsi="Cambria"/>
        </w:rPr>
        <w:t>Anul universitar</w:t>
      </w:r>
      <w:r w:rsidRPr="6EEE9562" w:rsidR="00632190">
        <w:rPr>
          <w:rFonts w:ascii="Cambria" w:hAnsi="Cambria"/>
        </w:rPr>
        <w:t xml:space="preserve"> </w:t>
      </w:r>
      <w:r w:rsidRPr="6EEE9562" w:rsidR="00600874">
        <w:rPr>
          <w:rFonts w:ascii="Cambria" w:hAnsi="Cambria"/>
        </w:rPr>
        <w:t>202</w:t>
      </w:r>
      <w:r w:rsidRPr="6EEE9562" w:rsidR="6ABF51DF">
        <w:rPr>
          <w:rFonts w:ascii="Cambria" w:hAnsi="Cambria"/>
        </w:rPr>
        <w:t>5</w:t>
      </w:r>
      <w:r w:rsidRPr="6EEE9562" w:rsidR="00600874">
        <w:rPr>
          <w:rFonts w:ascii="Cambria" w:hAnsi="Cambria"/>
        </w:rPr>
        <w:t xml:space="preserve"> - 202</w:t>
      </w:r>
      <w:r w:rsidRPr="6EEE9562" w:rsidR="6144AF05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65A23C67" w14:paraId="36E5E3E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65A23C67" w14:paraId="337527D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65A23C67" w14:paraId="76018161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65A23C67" w14:paraId="75057EA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65A23C67" w14:paraId="621A245D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tcMar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65A23C67" w14:paraId="656B8906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2025CE64" w14:textId="653C4346">
            <w:pPr>
              <w:keepNext w:val="1"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="002518F3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Antropologie/Sociologie</w:t>
            </w:r>
            <w:r w:rsidR="46A20264">
              <w:rPr>
                <w:rFonts w:ascii="Cambria" w:hAnsi="Cambria" w:eastAsia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, Licențiat în Sociologie</w:t>
            </w:r>
          </w:p>
        </w:tc>
      </w:tr>
      <w:tr w:rsidRPr="00D51618" w:rsidR="00D51618" w:rsidTr="65A23C67" w14:paraId="506B4158" w14:textId="77777777">
        <w:trPr>
          <w:trHeight w:val="284"/>
        </w:trPr>
        <w:tc>
          <w:tcPr>
            <w:tcW w:w="3403" w:type="dxa"/>
            <w:tcMar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tcMar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65A23C67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246FB3" w:rsidR="008F5E28" w:rsidP="00246FB3" w:rsidRDefault="00246FB3" w14:paraId="56BB9F54" w14:textId="0A247F45">
            <w:pPr>
              <w:rPr>
                <w:rFonts w:ascii="Cambria" w:hAnsi="Cambria"/>
                <w:sz w:val="20"/>
                <w:szCs w:val="20"/>
              </w:rPr>
            </w:pPr>
            <w:r w:rsidRPr="00246FB3">
              <w:rPr>
                <w:rFonts w:ascii="Cambria" w:hAnsi="Cambria"/>
                <w:sz w:val="20"/>
                <w:szCs w:val="20"/>
              </w:rPr>
              <w:t xml:space="preserve">Istoria </w:t>
            </w:r>
            <w:r>
              <w:rPr>
                <w:rFonts w:ascii="Cambria" w:hAnsi="Cambria"/>
                <w:sz w:val="20"/>
                <w:szCs w:val="20"/>
              </w:rPr>
              <w:t>g</w:t>
            </w:r>
            <w:r w:rsidRPr="00246FB3">
              <w:rPr>
                <w:rFonts w:ascii="Cambria" w:hAnsi="Cambria"/>
                <w:sz w:val="20"/>
                <w:szCs w:val="20"/>
              </w:rPr>
              <w:t xml:space="preserve">ândirii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Pr="00246FB3">
              <w:rPr>
                <w:rFonts w:ascii="Cambria" w:hAnsi="Cambria"/>
                <w:sz w:val="20"/>
                <w:szCs w:val="20"/>
              </w:rPr>
              <w:t>ociale din România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64095F6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46FB3">
              <w:rPr>
                <w:sz w:val="20"/>
                <w:szCs w:val="20"/>
              </w:rPr>
              <w:t>1603</w:t>
            </w:r>
          </w:p>
        </w:tc>
      </w:tr>
      <w:tr w:rsidRPr="00600874" w:rsidR="00600874" w:rsidTr="65A23C67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600874" w:rsidR="008F5E28" w:rsidP="65A23C67" w:rsidRDefault="008F5E28" w14:paraId="02F7CAC0" w14:textId="6509240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5A23C67" w:rsidR="429638FE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Dana Domsodi</w:t>
            </w:r>
          </w:p>
        </w:tc>
      </w:tr>
      <w:tr w:rsidRPr="00600874" w:rsidR="00600874" w:rsidTr="65A23C67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600874" w:rsidR="008F5E28" w:rsidP="65A23C67" w:rsidRDefault="008F5E28" w14:paraId="341D75ED" w14:textId="48A4853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5A23C67" w:rsidR="60269409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Dana Domsodi</w:t>
            </w:r>
          </w:p>
        </w:tc>
      </w:tr>
      <w:tr w:rsidRPr="00600874" w:rsidR="00600874" w:rsidTr="65A23C67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65A23C67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46FB3" w14:paraId="1F001A6C" w14:textId="190C422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65A23C67" w14:paraId="4ED618CB" w14:textId="77777777">
        <w:trPr>
          <w:trHeight w:val="284"/>
        </w:trPr>
        <w:tc>
          <w:tcPr>
            <w:tcW w:w="3539" w:type="dxa"/>
            <w:tcMar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tcMar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tcMar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tcMar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tcMar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65A23C67" w14:paraId="76F485A1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65A23C67" w14:paraId="099BC67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5A23C67" w:rsidRDefault="00600874" w14:paraId="1F6F3D9F" w14:textId="4141F503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5A23C67" w:rsidR="00600874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6</w:t>
            </w:r>
            <w:r w:rsidRPr="65A23C67" w:rsidR="443D5B95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Pr="00972DAD" w:rsidR="00600874" w:rsidTr="65A23C67" w14:paraId="19B7610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65A23C67" w14:paraId="004325F9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65A23C67" w14:paraId="078D24F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65A23C67" w14:paraId="246007A0" w14:textId="77777777">
        <w:trPr>
          <w:trHeight w:val="353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5A23C67" w:rsidRDefault="00600874" w14:paraId="4B62B253" w14:textId="02F63904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5A23C67" w:rsidR="19AB6ABC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</w:t>
            </w:r>
          </w:p>
        </w:tc>
      </w:tr>
      <w:tr w:rsidRPr="00972DAD" w:rsidR="00600874" w:rsidTr="65A23C67" w14:paraId="651F84A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tcMar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65A23C67" w14:paraId="51A2E484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65A23C67" w:rsidRDefault="00600874" w14:paraId="6EABD8A3" w14:textId="5D00EE13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5A23C67" w:rsidR="00600874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1</w:t>
            </w:r>
            <w:r w:rsidRPr="65A23C67" w:rsidR="3979C3E2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27</w:t>
            </w:r>
          </w:p>
        </w:tc>
      </w:tr>
      <w:tr w:rsidRPr="00972DAD" w:rsidR="00600874" w:rsidTr="65A23C67" w14:paraId="03E74F97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65A23C67" w:rsidRDefault="00600874" w14:paraId="686BA008" w14:textId="592C9455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5A23C67" w:rsidR="00600874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1</w:t>
            </w:r>
            <w:r w:rsidRPr="65A23C67" w:rsidR="474BFCCF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75</w:t>
            </w:r>
          </w:p>
        </w:tc>
      </w:tr>
      <w:tr w:rsidRPr="00972DAD" w:rsidR="00600874" w:rsidTr="65A23C67" w14:paraId="29D10D32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65A23C67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="65A23C67" w:rsidP="65A23C67" w:rsidRDefault="65A23C67" w14:paraId="17BF292E" w14:textId="4AEDA36F">
            <w:pPr>
              <w:keepNext w:val="0"/>
              <w:keepLines w:val="0"/>
              <w:widowControl w:val="1"/>
              <w:shd w:val="clear" w:color="auto" w:fill="auto"/>
              <w:spacing w:before="0" w:after="0" w:line="276" w:lineRule="auto"/>
              <w:ind w:left="641" w:right="0" w:hanging="641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Sală dotată tehnic cu aparatură tehnică audiovizuală</w:t>
            </w:r>
          </w:p>
        </w:tc>
      </w:tr>
      <w:tr w:rsidRPr="00972DAD" w:rsidR="00844EAD" w:rsidTr="65A23C67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="65A23C67" w:rsidP="65A23C67" w:rsidRDefault="65A23C67" w14:paraId="237169A3" w14:textId="11FACE09">
            <w:pPr>
              <w:keepNext w:val="0"/>
              <w:keepLines w:val="0"/>
              <w:widowControl w:val="1"/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Sală dotată tehnic cu aparatură tehnică audiovizuală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65A23C67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694B330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65A23C67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65A23C67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="65A23C67" w:rsidP="65A23C67" w:rsidRDefault="65A23C67" w14:paraId="2E113C27" w14:textId="1C227E4B">
            <w:pPr>
              <w:pStyle w:val="Normal"/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Familiarizare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cu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cele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mai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importante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dezbateri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și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tematici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contemporane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domeniul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Istorie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gândirii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sociale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românești</w:t>
            </w:r>
          </w:p>
        </w:tc>
      </w:tr>
      <w:tr w:rsidRPr="000B7D0D" w:rsidR="0083358D" w:rsidTr="65A23C67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="65A23C67" w:rsidP="65A23C67" w:rsidRDefault="65A23C67" w14:paraId="6F0B455C" w14:textId="2963BEF6">
            <w:pPr>
              <w:pStyle w:val="Normal"/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Intelegerea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diversitatii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sociale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culturale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politice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domeniului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istoriei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intelectuale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a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gândirii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sociale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românești</w:t>
            </w:r>
          </w:p>
          <w:p w:rsidR="65A23C67" w:rsidP="65A23C67" w:rsidRDefault="65A23C67" w14:paraId="6444FBDD" w14:textId="557808EE">
            <w:pPr>
              <w:pStyle w:val="Normal"/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PT"/>
              </w:rPr>
              <w:t>Analiza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PT"/>
              </w:rPr>
              <w:t xml:space="preserve"> 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it-IT"/>
              </w:rPr>
              <w:t>istoric-comparativ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ă a teoriilor și conceptelor din istoria gândirii sociale românești</w:t>
            </w:r>
          </w:p>
          <w:p w:rsidR="65A23C67" w:rsidP="65A23C67" w:rsidRDefault="65A23C67" w14:paraId="140D2950" w14:textId="62038DE7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64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A23C67" w:rsidP="65A23C67" w:rsidRDefault="65A23C67" w14:paraId="6D629838" w14:textId="19294FA3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648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.</w:t>
            </w: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65A23C67" w14:paraId="5486D853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65A23C67" w14:paraId="24407265" w14:textId="77777777">
        <w:trPr>
          <w:trHeight w:val="315"/>
        </w:trPr>
        <w:tc>
          <w:tcPr>
            <w:tcW w:w="4395" w:type="dxa"/>
            <w:tcMar/>
            <w:vAlign w:val="center"/>
          </w:tcPr>
          <w:p w:rsidR="65A23C67" w:rsidP="65A23C67" w:rsidRDefault="65A23C67" w14:paraId="5849B0C9" w14:textId="64884D5E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36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A23C67" w:rsidP="65A23C67" w:rsidRDefault="65A23C67" w14:paraId="6CFC3A59" w14:textId="2A6CD233">
            <w:pPr>
              <w:keepNext w:val="0"/>
              <w:keepLines w:val="0"/>
              <w:widowControl w:val="1"/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Introducere și chestiuni administrative legate de organizarea cursului și seminarului</w:t>
            </w:r>
          </w:p>
        </w:tc>
        <w:tc>
          <w:tcPr>
            <w:tcW w:w="3119" w:type="dxa"/>
            <w:vMerge w:val="restart"/>
            <w:tcBorders>
              <w:bottom w:val="single" w:color="auto" w:sz="4"/>
            </w:tcBorders>
            <w:tcMar/>
            <w:vAlign w:val="center"/>
          </w:tcPr>
          <w:p w:rsidRPr="002A3A93" w:rsidR="002A3A93" w:rsidP="65A23C67" w:rsidRDefault="002A3A93" w14:paraId="354B7EA2" w14:textId="391E1937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57CA2DD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Prelegere, vizionare material foto-video, discuții studii de caz, deplasare pe teren, participare ateliere tematice</w:t>
            </w:r>
          </w:p>
          <w:p w:rsidRPr="002A3A93" w:rsidR="002A3A93" w:rsidP="002A3A93" w:rsidRDefault="002A3A93" w14:paraId="4AEE5826" w14:textId="4C5F44E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53546A21" w14:textId="20FC5B3A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Pr="002A3A93" w:rsidR="008C28C6" w:rsidTr="65A23C67" w14:paraId="0B451E2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71042FD3" w14:textId="3E698451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Inventarea socialului în România în secolul al XIX-lea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075FD6E2" w14:textId="28856C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A3A93" w:rsidR="008C28C6" w:rsidTr="65A23C67" w14:paraId="047DE1FD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1D6A5BF9" w14:textId="58D9DFE4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Teoria socială românească din secolul al XIX-lea: școli de gândire; teorii și metodologii reprezentative; capitalism și chestiunea agrară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7EF8195C" w14:textId="2C18A3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A3A93" w:rsidR="008C28C6" w:rsidTr="65A23C67" w14:paraId="30D75F9C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101CCBF2" w14:textId="59323D57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Școala Gusti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70F34552" w14:textId="18F0E2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A3A93" w:rsidR="00600874" w:rsidTr="65A23C67" w14:paraId="3230047B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19FC527B" w14:textId="3C75E2B6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Scoală de sociologie istorică românească: H. Stahl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647CBA62" w14:textId="3F1958E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A3A93" w:rsidR="00600874" w:rsidTr="65A23C67" w14:paraId="3A5283A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2CCED523" w14:textId="5A90474F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</w:t>
            </w: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rocesul de urbanizare și sistematizare în România modernă. Contextul istoric și sociopolitic. 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67E78457" w14:textId="090FB7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A3A93" w:rsidR="00600874" w:rsidTr="65A23C67" w14:paraId="0A0F525E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5C7C802E" w14:textId="0684C0BC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Procesul de acumulare în România modernă: dezvoltare economică, capitalism și clase </w:t>
            </w:r>
          </w:p>
        </w:tc>
        <w:tc>
          <w:tcPr>
            <w:tcW w:w="3119" w:type="dxa"/>
            <w:vMerge/>
            <w:tcMar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Mar/>
            <w:vAlign w:val="center"/>
          </w:tcPr>
          <w:p w:rsidR="65A23C67" w:rsidP="65A23C67" w:rsidRDefault="65A23C67" w14:paraId="218DEDB2" w14:textId="75A684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8C28C6" w:rsidTr="65A23C67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65A23C67" w:rsidP="65A23C67" w:rsidRDefault="65A23C67" w14:paraId="01910EBB" w14:textId="0F7B4D6B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Chestiunea agrară și dezvoltare economică în comunism</w:t>
            </w:r>
          </w:p>
        </w:tc>
        <w:tc>
          <w:tcPr>
            <w:tcW w:w="3119" w:type="dxa"/>
            <w:vMerge/>
            <w:tcBorders/>
            <w:tcMar/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23C67" w:rsidP="65A23C67" w:rsidRDefault="65A23C67" w14:paraId="608912E2" w14:textId="79E2B33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600874" w:rsidTr="65A23C67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65A23C67" w:rsidP="65A23C67" w:rsidRDefault="65A23C67" w14:paraId="6F1EFD12" w14:textId="42F346B9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Sociologia muncii în România postbelică</w:t>
            </w:r>
          </w:p>
        </w:tc>
        <w:tc>
          <w:tcPr>
            <w:tcW w:w="3119" w:type="dxa"/>
            <w:vMerge/>
            <w:tcBorders/>
            <w:tcMar/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23C67" w:rsidP="65A23C67" w:rsidRDefault="65A23C67" w14:paraId="358AE9C4" w14:textId="5B1342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8C28C6" w:rsidTr="65A23C67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65A23C67" w:rsidP="65A23C67" w:rsidRDefault="65A23C67" w14:paraId="16C1242D" w14:textId="5BC22A63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Teorii critice cu privire la regimul comunist român</w:t>
            </w:r>
          </w:p>
        </w:tc>
        <w:tc>
          <w:tcPr>
            <w:tcW w:w="3119" w:type="dxa"/>
            <w:vMerge/>
            <w:tcBorders/>
            <w:tcMar/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23C67" w:rsidP="65A23C67" w:rsidRDefault="65A23C67" w14:paraId="408A36CA" w14:textId="2DE207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8C28C6" w:rsidTr="65A23C67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65A23C67" w:rsidP="65A23C67" w:rsidRDefault="65A23C67" w14:paraId="1E9D712F" w14:textId="5B401B8A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hanging="0" w:firstLine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Teoria socială și teoria teoria critică în România postdecembristă</w:t>
            </w:r>
          </w:p>
        </w:tc>
        <w:tc>
          <w:tcPr>
            <w:tcW w:w="3119" w:type="dxa"/>
            <w:vMerge/>
            <w:tcBorders/>
            <w:tcMar/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23C67" w:rsidP="65A23C67" w:rsidRDefault="65A23C67" w14:paraId="45DE1202" w14:textId="70A354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8C28C6" w:rsidTr="65A23C67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65A23C67" w:rsidP="65A23C67" w:rsidRDefault="65A23C67" w14:paraId="091554C0" w14:textId="67BE901F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284"/>
              </w:tabs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Recapitulare, pregătire examen. </w:t>
            </w:r>
          </w:p>
        </w:tc>
        <w:tc>
          <w:tcPr>
            <w:tcW w:w="3119" w:type="dxa"/>
            <w:vMerge/>
            <w:tcBorders>
              <w:bottom w:val="single" w:color="auto" w:sz="4" w:space="0"/>
            </w:tcBorders>
            <w:tcMar/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5A23C67" w:rsidP="65A23C67" w:rsidRDefault="65A23C67" w14:paraId="33C6B32B" w14:textId="3CA3164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C02345" w:rsidR="008C28C6" w:rsidTr="65A23C67" w14:paraId="724C172F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tcMar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tcMar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65A23C67" w14:paraId="058026E7" w14:textId="77777777">
        <w:trPr>
          <w:trHeight w:val="284"/>
        </w:trPr>
        <w:tc>
          <w:tcPr>
            <w:tcW w:w="4395" w:type="dxa"/>
            <w:tcMar/>
            <w:vAlign w:val="center"/>
          </w:tcPr>
          <w:p w:rsidR="65A23C67" w:rsidP="65A23C67" w:rsidRDefault="65A23C67" w14:paraId="6152B53D" w14:textId="1A906A61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Bogdan Murgescu, România și Europa. Acumularea decalajelor economice, Ed. Polirom, București, pp. 103-151</w:t>
            </w:r>
          </w:p>
          <w:p w:rsidR="65A23C67" w:rsidP="65A23C67" w:rsidRDefault="65A23C67" w14:paraId="1D36DDD2" w14:textId="6125DFEB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Constantin Dobrogeanu Gherea, Neoiobăgia + Plante exotice, Tact, Cluj-Napoca, extras </w:t>
            </w:r>
          </w:p>
          <w:p w:rsidR="65A23C67" w:rsidP="65A23C67" w:rsidRDefault="65A23C67" w14:paraId="1F647188" w14:textId="0AF74DCA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Monografia sociologică şi şcoala lui D. Gusti – texte reprezentative</w:t>
            </w:r>
          </w:p>
          <w:p w:rsidR="65A23C67" w:rsidP="65A23C67" w:rsidRDefault="65A23C67" w14:paraId="5A56B133" w14:textId="606D91BD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Stahl: Henry S. Stahl, Studii de sociologie istorică, Editura Științifică, București, 1972, pp. 5-23; Théories des processus de "modernisation" des Principautés Danubiennes et de l'ancien Royaume de Roumanie (1850-1920) Author(s): Henri H. Stahl Source: Review (Fernand Braudel Center), Vol. 16, No. 1 (Winter, 1993), pp. 85-111 </w:t>
            </w:r>
          </w:p>
          <w:p w:rsidR="65A23C67" w:rsidP="65A23C67" w:rsidRDefault="65A23C67" w14:paraId="3F053AC9" w14:textId="2BA9C026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Andrei Răzvan Voinea, Idealul locuirii bucureștene: familia cu casă și grădină. Parcelările Societății Comunale pentru locuințe ieftine - București (1908-1948), Editura Zona Nouă, București 2018, Pp. 15-71</w:t>
            </w:r>
          </w:p>
          <w:p w:rsidR="65A23C67" w:rsidP="65A23C67" w:rsidRDefault="65A23C67" w14:paraId="45F1F613" w14:textId="6E3697C8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“The Routledge History Handbook of Central and Eastern Europe in the Twentieth Century.     Volume 1: Challenges of Modernity”, Ed. Włodzimierz Borodziej, Stanislav Holubec, Joachim von Puttkamer; cap. 6: “Economic development,  Jerzy Łazor and Bogdan Murgescu</w:t>
            </w:r>
          </w:p>
          <w:p w:rsidR="65A23C67" w:rsidP="65A23C67" w:rsidRDefault="65A23C67" w14:paraId="2AB41ED1" w14:textId="3C31EE01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Irina Marin, Peasant Violence and Anti-semitism in Early Twentieth Century Eastern Europe, Palgrave macmillan, 2018, pp. 1-77; Katherine Verdery și Gail Kligman, Țăranii sub asediu, Polirom, București 2015, pp. 100-157;</w:t>
            </w:r>
          </w:p>
          <w:p w:rsidR="65A23C67" w:rsidP="65A23C67" w:rsidRDefault="65A23C67" w14:paraId="6B249006" w14:textId="0FD5A584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Alina Cucu, Planning Labor, Berghahn, 2019, Introduction pp. 1-37; cap. 3 pp. 109-147; cap. 6 pp. 204-228</w:t>
            </w:r>
          </w:p>
          <w:p w:rsidR="65A23C67" w:rsidP="65A23C67" w:rsidRDefault="65A23C67" w14:paraId="572157D2" w14:textId="4D1225E2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Adrian Grama, Laboring Along, De Gruyter 2019, Introducere + capitolul 1; pp. 1-79</w:t>
            </w:r>
          </w:p>
          <w:p w:rsidR="65A23C67" w:rsidP="65A23C67" w:rsidRDefault="65A23C67" w14:paraId="02A30F75" w14:textId="34EA3265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Gaspar Mikos Tamas, Postfascism, Tact, Cluj-Napoca 2014, Extras; Florin Poenaru, Locuri Comune, Tact, Cluj-Napoca 2017, , pp. 137-217; </w:t>
            </w:r>
          </w:p>
          <w:p w:rsidR="65A23C67" w:rsidP="65A23C67" w:rsidRDefault="65A23C67" w14:paraId="62D6A74D" w14:textId="1C3FAC0D">
            <w:pPr>
              <w:pStyle w:val="Listparagraf"/>
              <w:keepNext w:val="0"/>
              <w:keepLines w:val="0"/>
              <w:widowControl w:val="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Recapitulare</w:t>
            </w:r>
          </w:p>
        </w:tc>
        <w:tc>
          <w:tcPr>
            <w:tcW w:w="3119" w:type="dxa"/>
            <w:tcMar/>
            <w:vAlign w:val="center"/>
          </w:tcPr>
          <w:p w:rsidRPr="00C02345" w:rsidR="003F659E" w:rsidP="65A23C67" w:rsidRDefault="003F659E" w14:paraId="714458A0" w14:textId="694E2AF6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65A23C67" w:rsidR="1C0E57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Discuții tematice, dezbateri, prezentări, analize de text și conținuturi multimedia</w:t>
            </w:r>
          </w:p>
          <w:p w:rsidRPr="00C02345" w:rsidR="003F659E" w:rsidP="00373CCF" w:rsidRDefault="003F659E" w14:paraId="27D189C9" w14:textId="221B7C1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tcMar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65A23C67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5A23C67" w:rsidRDefault="003F659E" w14:paraId="23A00414" w14:textId="0160C2E5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  <w:r w:rsidRPr="65A23C67" w:rsidR="5834F978">
              <w:rPr>
                <w:rFonts w:ascii="Cambria" w:hAnsi="Cambria" w:eastAsia="Cambria" w:cs="Cambria"/>
                <w:sz w:val="22"/>
                <w:szCs w:val="22"/>
                <w:u w:val="none"/>
              </w:rPr>
              <w:t>Bibliografie</w:t>
            </w:r>
          </w:p>
          <w:p w:rsidRPr="00C02345" w:rsidR="003F659E" w:rsidP="65A23C67" w:rsidRDefault="003F659E" w14:paraId="4482FC75" w14:textId="49730ED1">
            <w:pPr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  <w:u w:val="none"/>
              </w:rPr>
            </w:pPr>
          </w:p>
          <w:p w:rsidRPr="00C02345" w:rsidR="003F659E" w:rsidP="65A23C67" w:rsidRDefault="003F659E" w14:paraId="14BF0EC1" w14:textId="5E157EAA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 xml:space="preserve">Bibliografie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obligatorie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it-IT"/>
              </w:rPr>
              <w:t>:</w:t>
            </w:r>
          </w:p>
          <w:p w:rsidRPr="00C02345" w:rsidR="003F659E" w:rsidP="65A23C67" w:rsidRDefault="003F659E" w14:paraId="13616FA2" w14:textId="01C97B56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6C4D65B9" w14:textId="7FB66ED5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Bogdan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Murgescu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România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Europa.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Acumularea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decalajelor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economice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Ed.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Polirom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, pp. 103-151</w:t>
            </w:r>
          </w:p>
          <w:p w:rsidRPr="00C02345" w:rsidR="003F659E" w:rsidP="65A23C67" w:rsidRDefault="003F659E" w14:paraId="72FB4468" w14:textId="07E70D59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292FB0AC" w14:textId="6DE18AFC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Constantin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Dobrogeanu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Gherea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Neoiobăgia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</w:p>
          <w:p w:rsidRPr="00C02345" w:rsidR="003F659E" w:rsidP="65A23C67" w:rsidRDefault="003F659E" w14:paraId="26E8F7A7" w14:textId="2DED573D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06708133" w14:textId="60EB02A4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Plante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exotice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Tact, Cluj-Napoca, extras </w:t>
            </w:r>
          </w:p>
          <w:p w:rsidRPr="00C02345" w:rsidR="003F659E" w:rsidP="65A23C67" w:rsidRDefault="003F659E" w14:paraId="197D2A9C" w14:textId="5D382DCE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3CE7C29A" w14:textId="0F0B34E2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Monografia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sociologică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şi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şcoala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lui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D. Gusti –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texte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reprezentative</w:t>
            </w:r>
          </w:p>
          <w:p w:rsidRPr="00C02345" w:rsidR="003F659E" w:rsidP="65A23C67" w:rsidRDefault="003F659E" w14:paraId="131B28FC" w14:textId="1153C611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50515CFF" w14:textId="09D9560A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Stahl: Henry S. Stahl,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Studii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sociologie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istorică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Editura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Științifică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1972, pp. 5-23; </w:t>
            </w:r>
          </w:p>
          <w:p w:rsidRPr="00C02345" w:rsidR="003F659E" w:rsidP="65A23C67" w:rsidRDefault="003F659E" w14:paraId="1537A353" w14:textId="5848FDEC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1D2D1AB3" w14:textId="44B34E1F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éories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 xml:space="preserve"> des processus de "modernisation" des Principautés Danubiennes et de l'ancien Royaume de Roumanie (1850-1920)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Author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(s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):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 xml:space="preserve"> Henri H. Stahl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Source: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>Review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fr-FR"/>
              </w:rPr>
              <w:t xml:space="preserve"> (Fernand Braudel Center), Vol. 16, No. 1 (Winter, 1993), pp. 85-111 </w:t>
            </w:r>
          </w:p>
          <w:p w:rsidRPr="00C02345" w:rsidR="003F659E" w:rsidP="65A23C67" w:rsidRDefault="003F659E" w14:paraId="2A3072EA" w14:textId="6AE77F60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716291B8" w14:textId="0E15FAA8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Andrei Răzvan Voinea,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Idealul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locuirii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bucureștene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: familia cu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casă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grădină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.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Parcelările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Societății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Comunale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pentru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locuințe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ieftine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-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(1908-1948),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Editura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Zona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Nouă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2018, Pp. 15-71</w:t>
            </w:r>
          </w:p>
          <w:p w:rsidRPr="00C02345" w:rsidR="003F659E" w:rsidP="65A23C67" w:rsidRDefault="003F659E" w14:paraId="248B6F13" w14:textId="415CA1F1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053C1FB2" w14:textId="47333417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 w:bidi="ar-SA"/>
              </w:rPr>
              <w:t>“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The Routledge History Handbook of Central and Eastern Europe in the Twentieth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Century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.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Volume 1: Challenges of Modernity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”, Ed.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de-DE"/>
              </w:rPr>
              <w:t>W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łodzimierz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Borodziej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, Stanislav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Holubec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, Joachim von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Puttkamer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; cap. 6: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 w:bidi="ar-SA"/>
              </w:rPr>
              <w:t>“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Economic development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,  Jerzy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Łazor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and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Bogdan Murgescu</w:t>
            </w:r>
          </w:p>
          <w:p w:rsidRPr="00C02345" w:rsidR="003F659E" w:rsidP="65A23C67" w:rsidRDefault="003F659E" w14:paraId="2EE14A3C" w14:textId="44055BC2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3364851B" w14:textId="1F488E5B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Irina Marin, Peasant Violence and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Anti-semitism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in Early Twentieth Century Eastern Europe, Palgrave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macmillan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2018, pp. 1-77; </w:t>
            </w:r>
          </w:p>
          <w:p w:rsidRPr="00C02345" w:rsidR="003F659E" w:rsidP="65A23C67" w:rsidRDefault="003F659E" w14:paraId="173A8CBE" w14:textId="357DC424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6FF2A39B" w14:textId="56AAF88C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Katherine Verdery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Gail Kligman,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Țăranii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sub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asediu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Polirom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București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2015, pp. 100-157;</w:t>
            </w:r>
          </w:p>
          <w:p w:rsidRPr="00C02345" w:rsidR="003F659E" w:rsidP="65A23C67" w:rsidRDefault="003F659E" w14:paraId="7190AEF7" w14:textId="3263D88C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38C7E688" w14:textId="3198CA76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Alina Cucu, Planning Labor,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Berghahn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, 2019, Introduction pp. 1-37; cap. 3 pp. 109-147; cap. 6 pp. 204-228</w:t>
            </w:r>
          </w:p>
          <w:p w:rsidRPr="00C02345" w:rsidR="003F659E" w:rsidP="65A23C67" w:rsidRDefault="003F659E" w14:paraId="26396205" w14:textId="34CB405B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4FE5D273" w14:textId="71EDECDB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Adrian Grama, Laboring Along, De Gruyter 2019,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Introducere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+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capitolul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1; pp. 1-79</w:t>
            </w:r>
          </w:p>
          <w:p w:rsidRPr="00C02345" w:rsidR="003F659E" w:rsidP="65A23C67" w:rsidRDefault="003F659E" w14:paraId="417A3D55" w14:textId="610BF158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38E967BA" w14:textId="6A46E781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Gaspar Mikos Tamas, Postfascism, Tact, Cluj-Napoca 2014, Extras; </w:t>
            </w:r>
          </w:p>
          <w:p w:rsidRPr="00C02345" w:rsidR="003F659E" w:rsidP="65A23C67" w:rsidRDefault="003F659E" w14:paraId="314AFEEC" w14:textId="7ADCDD46">
            <w:pPr>
              <w:keepNext w:val="0"/>
              <w:keepLines w:val="0"/>
              <w:widowControl w:val="1"/>
              <w:shd w:val="clear" w:color="auto" w:fill="auto"/>
              <w:tabs>
                <w:tab w:val="left" w:leader="none" w:pos="1875"/>
              </w:tabs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</w:pPr>
          </w:p>
          <w:p w:rsidRPr="00C02345" w:rsidR="003F659E" w:rsidP="65A23C67" w:rsidRDefault="003F659E" w14:paraId="65706CFD" w14:textId="4C9243E9">
            <w:pPr>
              <w:pStyle w:val="Normal"/>
              <w:tabs>
                <w:tab w:val="left" w:pos="2715"/>
              </w:tabs>
              <w:spacing w:after="0" w:line="240" w:lineRule="auto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Florin Poenaru,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Locuri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Comune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, Tact, Cluj-Napoca 2017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, ,</w:t>
            </w:r>
            <w:r w:rsidRPr="65A23C67" w:rsidR="579C1A3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pp. 137-217;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65A23C67" w14:paraId="697653B0" w14:textId="77777777">
        <w:trPr>
          <w:trHeight w:val="1005"/>
        </w:trPr>
        <w:tc>
          <w:tcPr>
            <w:tcW w:w="10491" w:type="dxa"/>
            <w:tcMar/>
          </w:tcPr>
          <w:p w:rsidRPr="002E4459" w:rsidR="0084568F" w:rsidP="65A23C67" w:rsidRDefault="0084568F" w14:paraId="7834DEB6" w14:textId="2C71FA22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noProof w:val="0"/>
                <w:lang w:val="ro-RO"/>
              </w:rPr>
            </w:pP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Disciplina este crucial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 xml:space="preserve">ă pentru înțelegerea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funcț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ion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ării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 xml:space="preserve"> oricărui domeniu al socialului sau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câ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PT"/>
              </w:rPr>
              <w:t>mp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PT"/>
              </w:rPr>
              <w:t xml:space="preserve"> social.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Î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fr-FR"/>
              </w:rPr>
              <w:t>n ce prive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ște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 xml:space="preserve"> raportul cu comunitatea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științ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it-IT"/>
              </w:rPr>
              <w:t>ific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ă, acest curs conț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it-IT"/>
              </w:rPr>
              <w:t xml:space="preserve">ine tematica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 xml:space="preserve">și bibliografia adecvate istoricului disciplinei și profesiei, precum și a ultimelor contribuții profesionale. Pentru angajatorii reprezentativi, acest curs aduce fundamentele care fac studenții ce îl urmează capabili să 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t-PT"/>
              </w:rPr>
              <w:t>func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>ționeze</w:t>
            </w:r>
            <w:r w:rsidRPr="65A23C67" w:rsidR="5FD157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ro-RO"/>
              </w:rPr>
              <w:t xml:space="preserve"> la un nivel bun în orice domeniu.</w:t>
            </w:r>
          </w:p>
          <w:p w:rsidRPr="002E4459" w:rsidR="0084568F" w:rsidP="65A23C67" w:rsidRDefault="0084568F" w14:paraId="2B940AFD" w14:textId="35F918CF">
            <w:pPr>
              <w:pStyle w:val="Listparagraf"/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65A23C67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65A23C67" w:rsidRDefault="00357598" w14:paraId="2C2573E7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65A23C67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65A23C67" w:rsidRDefault="00357598" w14:paraId="2252364F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65A23C67" w:rsidRDefault="00357598" w14:paraId="46FA2B79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10.3 Pondere din nota finală</w:t>
            </w:r>
          </w:p>
        </w:tc>
      </w:tr>
      <w:tr w:rsidRPr="0039068A" w:rsidR="00357598" w:rsidTr="65A23C67" w14:paraId="3DDA6B4F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65A23C67" w:rsidRDefault="00357598" w14:paraId="0E948466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="65A23C67" w:rsidP="65A23C67" w:rsidRDefault="65A23C67" w14:paraId="23116853" w14:textId="28919DAD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Cunoaștere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înțelegere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concepte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teorii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discutate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;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parcurgerea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critică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a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lecturilor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obligatorii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; capacitate de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argumentare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claritate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formare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enunțuri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logice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și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coerente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;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capacitatea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a face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legături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între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cele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sus.</w:t>
            </w:r>
          </w:p>
        </w:tc>
        <w:tc>
          <w:tcPr>
            <w:tcW w:w="2409" w:type="dxa"/>
            <w:tcMar/>
            <w:vAlign w:val="center"/>
          </w:tcPr>
          <w:p w:rsidR="65A23C67" w:rsidP="65A23C67" w:rsidRDefault="65A23C67" w14:paraId="482FC77B" w14:textId="31C769D6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Examen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scris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în sesiune,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redacț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ES"/>
              </w:rPr>
              <w:t>ional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E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s-ES"/>
              </w:rPr>
              <w:t>const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ând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din 2 întrebări deschise la care se răspunde prin formularea a 2 mini-eseuri argumentative folosindu-se de bibliografia obligatorie de la seminar. 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de-DE"/>
              </w:rPr>
              <w:t>Studen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ții au la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dispoziț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de-DE"/>
              </w:rPr>
              <w:t>ie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de-DE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 ore pentru a rezolva subiectul.</w:t>
            </w:r>
          </w:p>
        </w:tc>
        <w:tc>
          <w:tcPr>
            <w:tcW w:w="2694" w:type="dxa"/>
            <w:tcMar/>
            <w:vAlign w:val="center"/>
          </w:tcPr>
          <w:p w:rsidR="65A23C67" w:rsidP="65A23C67" w:rsidRDefault="65A23C67" w14:paraId="11901662" w14:textId="11F6496D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50 %</w:t>
            </w:r>
          </w:p>
        </w:tc>
      </w:tr>
      <w:tr w:rsidRPr="0039068A" w:rsidR="00357598" w:rsidTr="65A23C67" w14:paraId="685D657C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65A23C67" w:rsidRDefault="00357598" w14:paraId="41328FC6" w14:textId="14A667CF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65A23C67" w:rsidRDefault="00357598" w14:paraId="4BC27ADE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65A23C67" w:rsidRDefault="00357598" w14:paraId="7EF06B9D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</w:tr>
      <w:tr w:rsidRPr="0039068A" w:rsidR="00357598" w:rsidTr="65A23C67" w14:paraId="4000A1C8" w14:textId="77777777">
        <w:trPr>
          <w:trHeight w:val="284"/>
        </w:trPr>
        <w:tc>
          <w:tcPr>
            <w:tcW w:w="2839" w:type="dxa"/>
            <w:vMerge w:val="restart"/>
            <w:tcMar/>
            <w:vAlign w:val="center"/>
          </w:tcPr>
          <w:p w:rsidRPr="00357598" w:rsidR="00357598" w:rsidP="65A23C67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10.5 Seminar/laborator</w:t>
            </w:r>
          </w:p>
        </w:tc>
        <w:tc>
          <w:tcPr>
            <w:tcW w:w="2550" w:type="dxa"/>
            <w:tcMar/>
            <w:vAlign w:val="center"/>
          </w:tcPr>
          <w:p w:rsidR="65A23C67" w:rsidP="65A23C67" w:rsidRDefault="65A23C67" w14:paraId="16FF4C19" w14:textId="4FD7BA1E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Prezență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Participare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activă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la seminar,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lecturi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prezentări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seminar</w:t>
            </w:r>
          </w:p>
        </w:tc>
        <w:tc>
          <w:tcPr>
            <w:tcW w:w="2409" w:type="dxa"/>
            <w:tcMar/>
            <w:vAlign w:val="center"/>
          </w:tcPr>
          <w:p w:rsidR="65A23C67" w:rsidP="65A23C67" w:rsidRDefault="65A23C67" w14:paraId="71AC2E9B" w14:textId="11A9C480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Redactare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lucrare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/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proiect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de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cercetare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(8 pct);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prezentare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(1 pct); 1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punct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din </w:t>
            </w: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oficiu</w:t>
            </w:r>
          </w:p>
        </w:tc>
        <w:tc>
          <w:tcPr>
            <w:tcW w:w="2694" w:type="dxa"/>
            <w:tcMar/>
            <w:vAlign w:val="center"/>
          </w:tcPr>
          <w:p w:rsidR="65A23C67" w:rsidP="65A23C67" w:rsidRDefault="65A23C67" w14:paraId="235AA6EF" w14:textId="1739F467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A23C67" w:rsidR="65A23C67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50 %</w:t>
            </w:r>
          </w:p>
        </w:tc>
      </w:tr>
      <w:tr w:rsidRPr="0039068A" w:rsidR="00357598" w:rsidTr="65A23C67" w14:paraId="2C56DD2A" w14:textId="77777777">
        <w:trPr>
          <w:trHeight w:val="284"/>
        </w:trPr>
        <w:tc>
          <w:tcPr>
            <w:tcW w:w="2839" w:type="dxa"/>
            <w:vMerge/>
            <w:tcMar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tcMar/>
            <w:vAlign w:val="center"/>
          </w:tcPr>
          <w:p w:rsidRPr="00357598" w:rsidR="00357598" w:rsidP="65A23C67" w:rsidRDefault="00357598" w14:paraId="2C1E6256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65A23C67" w:rsidRDefault="00357598" w14:paraId="24AF3BCF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  <w:tc>
          <w:tcPr>
            <w:tcW w:w="2694" w:type="dxa"/>
            <w:tcMar/>
            <w:vAlign w:val="center"/>
          </w:tcPr>
          <w:p w:rsidRPr="00357598" w:rsidR="00357598" w:rsidP="65A23C67" w:rsidRDefault="00357598" w14:paraId="7196415F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</w:tr>
      <w:tr w:rsidRPr="0039068A" w:rsidR="00357598" w:rsidTr="65A23C67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Pr="00357598" w:rsidR="00357598" w:rsidP="65A23C67" w:rsidRDefault="00357598" w14:paraId="1B6F4D48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  <w:r w:rsidRPr="65A23C67" w:rsidR="53B94862">
              <w:rPr>
                <w:rFonts w:ascii="Cambria" w:hAnsi="Cambria" w:eastAsia="Cambria" w:cs="Cambria"/>
                <w:sz w:val="22"/>
                <w:szCs w:val="22"/>
              </w:rPr>
              <w:t>10.6 Standard minim de performanță</w:t>
            </w:r>
          </w:p>
        </w:tc>
      </w:tr>
      <w:tr w:rsidRPr="0039068A" w:rsidR="00357598" w:rsidTr="65A23C67" w14:paraId="6CA55508" w14:textId="77777777">
        <w:trPr>
          <w:trHeight w:val="3403"/>
        </w:trPr>
        <w:tc>
          <w:tcPr>
            <w:tcW w:w="10492" w:type="dxa"/>
            <w:gridSpan w:val="4"/>
            <w:tcMar/>
          </w:tcPr>
          <w:p w:rsidRPr="00357598" w:rsidR="00357598" w:rsidP="65A23C67" w:rsidRDefault="00357598" w14:paraId="19C84765" w14:textId="7161339F">
            <w:pPr>
              <w:spacing w:before="120" w:after="0" w:line="240" w:lineRule="auto"/>
              <w:ind w:left="0"/>
              <w:rPr>
                <w:rFonts w:ascii="Cambria" w:hAnsi="Cambria" w:eastAsia="Cambria" w:cs="Cambria"/>
                <w:sz w:val="22"/>
                <w:szCs w:val="22"/>
              </w:rPr>
            </w:pPr>
          </w:p>
          <w:p w:rsidRPr="00357598" w:rsidR="00357598" w:rsidP="65A23C67" w:rsidRDefault="00357598" w14:paraId="4F1A2157" w14:textId="674CC317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Pentru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nota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minimă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studentul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trebuie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să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acumuleze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nota 5</w:t>
            </w:r>
          </w:p>
          <w:p w:rsidRPr="00357598" w:rsidR="00357598" w:rsidP="65A23C67" w:rsidRDefault="00357598" w14:paraId="440B6C59" w14:textId="42303D0E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Plagiatul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va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fi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sancționat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conform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reglementărilor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universitare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,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inclusiv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prin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neacordarea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punctajului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pentru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lucrarea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plagiată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.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Pentru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promovare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studentul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trebuie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să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obţină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minim n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ota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5.</w:t>
            </w:r>
          </w:p>
          <w:p w:rsidRPr="00357598" w:rsidR="00357598" w:rsidP="65A23C67" w:rsidRDefault="00357598" w14:paraId="3367B147" w14:textId="3EFD51C3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  <w:p w:rsidRPr="00357598" w:rsidR="00357598" w:rsidP="65A23C67" w:rsidRDefault="00357598" w14:paraId="326B670C" w14:textId="655C204A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5A23C67" w:rsidR="03E8BAC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Notă</w:t>
            </w:r>
            <w:r w:rsidRPr="65A23C67" w:rsidR="03E8BAC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despre</w:t>
            </w:r>
            <w:r w:rsidRPr="65A23C67" w:rsidR="03E8BAC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5A23C67" w:rsidR="03E8BAC8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plagiat</w:t>
            </w:r>
          </w:p>
          <w:p w:rsidRPr="00357598" w:rsidR="00357598" w:rsidP="65A23C67" w:rsidRDefault="00357598" w14:paraId="2C08C47D" w14:textId="5A8F7141">
            <w:pPr>
              <w:keepNext w:val="0"/>
              <w:keepLines w:val="0"/>
              <w:widowControl w:val="1"/>
              <w:shd w:val="clear" w:color="auto" w:fill="auto"/>
              <w:spacing w:before="0" w:after="0" w:line="240" w:lineRule="auto"/>
              <w:ind w:left="0" w:right="0" w:firstLine="0"/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o-RO"/>
              </w:rPr>
            </w:pP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Plagiatul sau frauda se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pedepseşte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în conformitate cu reglementările în vigoare (în anumite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situaţii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pot implica exmatricularea).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 w:bidi="ar-SA"/>
              </w:rPr>
              <w:t>“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Plagiatul este prezentarea ca fiind munca proprie a cuiva a cuvintelor, ideilor, argumentelor unei alte persoane fără o corectă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recunoştere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a sursei prin citare, referire sau notă. Prin urmare, este vorba de plagiat atât atunci când cuvintele unei alte persoane sunt reproduse fără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recunoaşterea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sursei, cât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şi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atunci când ideile sau argumentele altei persoane sunt parafrazate astfel încât cititorul ar putea crede că ele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aparţin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 xml:space="preserve"> autorului textului.” Pentru plagiat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parţ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PT"/>
              </w:rPr>
              <w:t>ial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PT"/>
              </w:rPr>
              <w:t xml:space="preserve"> se 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t-PT"/>
              </w:rPr>
              <w:t>acord</w:t>
            </w:r>
            <w:r w:rsidRPr="65A23C67" w:rsidR="03E8BAC8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ro-RO"/>
              </w:rPr>
              <w:t>ă nota 4 la proiect iar pentru plagiat integral nota 1.</w:t>
            </w:r>
          </w:p>
          <w:p w:rsidRPr="00357598" w:rsidR="00357598" w:rsidP="65A23C67" w:rsidRDefault="00357598" w14:paraId="6766C520" w14:textId="77777777">
            <w:pPr>
              <w:spacing w:after="0" w:line="240" w:lineRule="auto"/>
              <w:rPr>
                <w:rFonts w:ascii="Cambria" w:hAnsi="Cambria" w:eastAsia="Cambria" w:cs="Cambria"/>
                <w:sz w:val="22"/>
                <w:szCs w:val="22"/>
              </w:rPr>
            </w:pPr>
          </w:p>
        </w:tc>
      </w:tr>
    </w:tbl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65A23C67" w14:paraId="11B37CCE" w14:textId="77777777">
        <w:trPr>
          <w:trHeight w:val="1037"/>
        </w:trPr>
        <w:tc>
          <w:tcPr>
            <w:tcW w:w="1165" w:type="dxa"/>
            <w:tcMar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tcMar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65A23C67" w14:paraId="3DEFB65F" w14:textId="77777777">
        <w:trPr>
          <w:trHeight w:val="1124"/>
        </w:trPr>
        <w:tc>
          <w:tcPr>
            <w:tcW w:w="1165" w:type="dxa"/>
            <w:tcMar/>
            <w:vAlign w:val="center"/>
          </w:tcPr>
          <w:p w:rsidRPr="00E027F6" w:rsidR="001253AA" w:rsidP="00E56D7A" w:rsidRDefault="001253AA" w14:paraId="2DC7B7F0" w14:textId="601B07E7">
            <w:pPr>
              <w:ind w:right="-537"/>
            </w:pP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61E84881" w14:textId="683A5D18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2732604C" w14:textId="0C426DBF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1DDE7636" w14:textId="7A61D1B4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A69A711" w14:textId="11D42649">
            <w:pPr/>
          </w:p>
        </w:tc>
        <w:tc>
          <w:tcPr>
            <w:tcW w:w="1165" w:type="dxa"/>
            <w:tcMar/>
            <w:vAlign w:val="center"/>
          </w:tcPr>
          <w:p w:rsidRPr="00E027F6" w:rsidR="001253AA" w:rsidP="00373CCF" w:rsidRDefault="001253AA" w14:paraId="423B32E2" w14:textId="1539E46A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1253AA" w14:paraId="741BDDBE" w14:textId="11F05F1F">
            <w:pPr/>
          </w:p>
        </w:tc>
        <w:tc>
          <w:tcPr>
            <w:tcW w:w="1166" w:type="dxa"/>
            <w:tcMar/>
            <w:vAlign w:val="center"/>
          </w:tcPr>
          <w:p w:rsidRPr="00E027F6" w:rsidR="001253AA" w:rsidP="00373CCF" w:rsidRDefault="00370DF5" w14:paraId="6C16B376" w14:textId="237ACF9E">
            <w:pPr/>
          </w:p>
        </w:tc>
      </w:tr>
    </w:tbl>
    <w:p w:rsidR="65A23C67" w:rsidRDefault="65A23C67" w14:paraId="56E529C0" w14:textId="5964F08E"/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65A23C67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371FDFA7">
            <w:pPr>
              <w:rPr>
                <w:rFonts w:ascii="Cambria" w:hAnsi="Cambria"/>
              </w:rPr>
            </w:pPr>
            <w:r w:rsidRPr="65A23C67" w:rsidR="75A64E9B">
              <w:rPr>
                <w:rFonts w:ascii="Cambria" w:hAnsi="Cambria"/>
              </w:rPr>
              <w:t>24.09.2025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0F5C8287" w14:textId="14314F8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65A23C67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65A23C67" w:rsidR="57481C97">
              <w:rPr>
                <w:rFonts w:ascii="Cambria" w:hAnsi="Cambria"/>
              </w:rPr>
              <w:t>Data avizării în departament:</w:t>
            </w:r>
          </w:p>
          <w:p w:rsidRPr="003C197C" w:rsidR="003C197C" w:rsidP="65A23C67" w:rsidRDefault="003C197C" w14:paraId="121B6156" w14:textId="371FDFA7">
            <w:pPr>
              <w:spacing w:line="480" w:lineRule="auto"/>
              <w:rPr>
                <w:rFonts w:ascii="Cambria" w:hAnsi="Cambria"/>
              </w:rPr>
            </w:pPr>
            <w:r w:rsidRPr="65A23C67" w:rsidR="353F50CD">
              <w:rPr>
                <w:rFonts w:ascii="Cambria" w:hAnsi="Cambria"/>
              </w:rPr>
              <w:t>24.09.2025</w:t>
            </w:r>
          </w:p>
          <w:p w:rsidRPr="003C197C" w:rsidR="003C197C" w:rsidP="00C0333B" w:rsidRDefault="003C197C" w14:paraId="714DB94C" w14:textId="781C7F2F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23CEE37A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ACF21FC" w14:textId="243CF1BF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516" w:rsidP="00D12BC3" w:rsidRDefault="00C91516" w14:paraId="15728E4E" w14:textId="77777777">
      <w:pPr>
        <w:spacing w:after="0" w:line="240" w:lineRule="auto"/>
      </w:pPr>
      <w:r>
        <w:separator/>
      </w:r>
    </w:p>
  </w:endnote>
  <w:endnote w:type="continuationSeparator" w:id="0">
    <w:p w:rsidR="00C91516" w:rsidP="00D12BC3" w:rsidRDefault="00C91516" w14:paraId="6F72B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516" w:rsidP="00D12BC3" w:rsidRDefault="00C91516" w14:paraId="116D3840" w14:textId="77777777">
      <w:pPr>
        <w:spacing w:after="0" w:line="240" w:lineRule="auto"/>
      </w:pPr>
      <w:r>
        <w:separator/>
      </w:r>
    </w:p>
  </w:footnote>
  <w:footnote w:type="continuationSeparator" w:id="0">
    <w:p w:rsidR="00C91516" w:rsidP="00D12BC3" w:rsidRDefault="00C91516" w14:paraId="5A9E6802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b75f9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36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a1c6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247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46FB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E5C58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1516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3E8BAC8"/>
    <w:rsid w:val="0CF80622"/>
    <w:rsid w:val="18939310"/>
    <w:rsid w:val="18939310"/>
    <w:rsid w:val="19AB6ABC"/>
    <w:rsid w:val="1C0E579A"/>
    <w:rsid w:val="1F102101"/>
    <w:rsid w:val="1F12EE12"/>
    <w:rsid w:val="2D3ED118"/>
    <w:rsid w:val="353F50CD"/>
    <w:rsid w:val="3979C3E2"/>
    <w:rsid w:val="429638FE"/>
    <w:rsid w:val="443D5B95"/>
    <w:rsid w:val="46A20264"/>
    <w:rsid w:val="474BFCCF"/>
    <w:rsid w:val="48B33F7A"/>
    <w:rsid w:val="4B15BDA1"/>
    <w:rsid w:val="52A2C47A"/>
    <w:rsid w:val="52A2C47A"/>
    <w:rsid w:val="53B94862"/>
    <w:rsid w:val="57481C97"/>
    <w:rsid w:val="579C1A3B"/>
    <w:rsid w:val="57CA2DDE"/>
    <w:rsid w:val="5834F978"/>
    <w:rsid w:val="5FD1578D"/>
    <w:rsid w:val="60269409"/>
    <w:rsid w:val="6144AF05"/>
    <w:rsid w:val="619C575A"/>
    <w:rsid w:val="619C575A"/>
    <w:rsid w:val="62A66E1B"/>
    <w:rsid w:val="65A23C67"/>
    <w:rsid w:val="6ABF51DF"/>
    <w:rsid w:val="6EEE9562"/>
    <w:rsid w:val="71881E4C"/>
    <w:rsid w:val="75A64E9B"/>
    <w:rsid w:val="7908F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Ionut Foldes</lastModifiedBy>
  <revision>11</revision>
  <dcterms:created xsi:type="dcterms:W3CDTF">2025-07-30T11:18:00.0000000Z</dcterms:created>
  <dcterms:modified xsi:type="dcterms:W3CDTF">2026-02-11T16:52:17.0365978Z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