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0A1C1C" w:rsidR="00123B64" w:rsidP="00FB5485" w:rsidRDefault="000A1C1C" w14:paraId="73B2268A" w14:textId="43C7B5E4">
      <w:pPr>
        <w:jc w:val="center"/>
        <w:rPr>
          <w:rFonts w:ascii="Cambria" w:hAnsi="Cambria"/>
          <w:i/>
          <w:iCs/>
        </w:rPr>
      </w:pPr>
      <w:r w:rsidRPr="000A1C1C">
        <w:rPr>
          <w:rFonts w:ascii="Cambria" w:hAnsi="Cambria"/>
          <w:i/>
          <w:iCs/>
        </w:rPr>
        <w:t>Stratificare și mobilitate socială</w:t>
      </w:r>
    </w:p>
    <w:p w:rsidRPr="000A1C1C" w:rsidR="00123B64" w:rsidP="00FB5485" w:rsidRDefault="00123B64" w14:paraId="147D6DE1" w14:textId="244E915D">
      <w:pPr>
        <w:jc w:val="center"/>
        <w:rPr>
          <w:rFonts w:ascii="Cambria" w:hAnsi="Cambria"/>
        </w:rPr>
      </w:pPr>
      <w:r w:rsidRPr="6C884E65" w:rsidR="00123B64">
        <w:rPr>
          <w:rFonts w:ascii="Cambria" w:hAnsi="Cambria"/>
        </w:rPr>
        <w:t>Anul universitar</w:t>
      </w:r>
      <w:r w:rsidRPr="6C884E65" w:rsidR="00632190">
        <w:rPr>
          <w:rFonts w:ascii="Cambria" w:hAnsi="Cambria"/>
        </w:rPr>
        <w:t xml:space="preserve"> </w:t>
      </w:r>
      <w:r w:rsidRPr="6C884E65" w:rsidR="00AE5FC2">
        <w:rPr>
          <w:rFonts w:ascii="Cambria" w:hAnsi="Cambria"/>
        </w:rPr>
        <w:t>202</w:t>
      </w:r>
      <w:r w:rsidRPr="6C884E65" w:rsidR="23881A63">
        <w:rPr>
          <w:rFonts w:ascii="Cambria" w:hAnsi="Cambria"/>
        </w:rPr>
        <w:t>5</w:t>
      </w:r>
      <w:r w:rsidRPr="6C884E65" w:rsidR="00AE5FC2">
        <w:rPr>
          <w:rFonts w:ascii="Cambria" w:hAnsi="Cambria"/>
        </w:rPr>
        <w:t xml:space="preserve"> - 202</w:t>
      </w:r>
      <w:r w:rsidRPr="6C884E65" w:rsidR="16058428">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463143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4B96F792"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0A1C1C" w14:paraId="56BB9F54" w14:textId="36440A28">
            <w:pPr>
              <w:pStyle w:val="Default"/>
              <w:rPr>
                <w:sz w:val="20"/>
                <w:szCs w:val="20"/>
              </w:rPr>
            </w:pPr>
            <w:r>
              <w:rPr>
                <w:sz w:val="20"/>
                <w:szCs w:val="20"/>
              </w:rPr>
              <w:t>Stratificare și mobilitate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03A8E6A2">
            <w:pPr>
              <w:pStyle w:val="Default"/>
              <w:rPr>
                <w:sz w:val="20"/>
                <w:szCs w:val="20"/>
              </w:rPr>
            </w:pPr>
            <w:r>
              <w:rPr>
                <w:sz w:val="20"/>
                <w:szCs w:val="20"/>
              </w:rPr>
              <w:t>ALR</w:t>
            </w:r>
            <w:r w:rsidR="000A1C1C">
              <w:rPr>
                <w:sz w:val="20"/>
                <w:szCs w:val="20"/>
              </w:rPr>
              <w:t>1503</w:t>
            </w:r>
          </w:p>
        </w:tc>
      </w:tr>
      <w:tr w:rsidRPr="00972DAD" w:rsidR="008F5E28" w:rsidTr="4B96F792"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4B96F792" w:rsidRDefault="008F5E28" w14:paraId="02F7CAC0" w14:textId="45DC208D">
            <w:pPr>
              <w:suppressAutoHyphens/>
              <w:spacing w:after="0" w:line="240" w:lineRule="auto"/>
              <w:rPr>
                <w:rFonts w:ascii="Cambria" w:hAnsi="Cambria" w:eastAsia="Times New Roman" w:cs="Times New Roman"/>
                <w:sz w:val="20"/>
                <w:szCs w:val="20"/>
                <w:lang w:eastAsia="zh-CN"/>
              </w:rPr>
            </w:pPr>
            <w:r w:rsidRPr="4B96F792" w:rsidR="3FEFA3E4">
              <w:rPr>
                <w:rFonts w:ascii="Cambria" w:hAnsi="Cambria" w:eastAsia="Times New Roman" w:cs="Times New Roman"/>
                <w:sz w:val="20"/>
                <w:szCs w:val="20"/>
                <w:lang w:eastAsia="zh-CN"/>
              </w:rPr>
              <w:t>Cristina Raț</w:t>
            </w:r>
          </w:p>
        </w:tc>
      </w:tr>
      <w:tr w:rsidRPr="00972DAD" w:rsidR="008F5E28" w:rsidTr="4B96F792"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4B96F792" w:rsidRDefault="008F5E28" w14:paraId="341D75ED" w14:textId="74B3462D">
            <w:pPr>
              <w:suppressAutoHyphens/>
              <w:spacing w:after="0" w:line="240" w:lineRule="auto"/>
              <w:rPr>
                <w:rFonts w:ascii="Cambria" w:hAnsi="Cambria" w:eastAsia="Times New Roman" w:cs="Times New Roman"/>
                <w:sz w:val="20"/>
                <w:szCs w:val="20"/>
                <w:lang w:eastAsia="zh-CN"/>
              </w:rPr>
            </w:pPr>
            <w:r w:rsidRPr="4B96F792" w:rsidR="1ACB4451">
              <w:rPr>
                <w:rFonts w:ascii="Cambria" w:hAnsi="Cambria" w:eastAsia="Times New Roman" w:cs="Times New Roman"/>
                <w:sz w:val="20"/>
                <w:szCs w:val="20"/>
                <w:lang w:eastAsia="zh-CN"/>
              </w:rPr>
              <w:t>Cristian Pop, Cristina Raț</w:t>
            </w:r>
          </w:p>
        </w:tc>
      </w:tr>
      <w:tr w:rsidRPr="00CB7D36" w:rsidR="007566DE" w:rsidTr="4B96F792"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15465A99">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r w:rsidR="000A1C1C">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0A1C1C" w14:paraId="1CE49F94" w14:textId="0FB7088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5EF5C2FD">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A1C1C">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A713B0" w:rsidRDefault="00222340" w14:paraId="1F6F3D9F" w14:textId="419ADA6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222340" w14:paraId="6EABD8A3" w14:textId="19DEEF4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4932A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222340">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222340" w14:paraId="3C97E24A" w14:textId="7A91A50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00"/>
        <w:gridCol w:w="7491"/>
      </w:tblGrid>
      <w:tr w:rsidRPr="00972DAD" w:rsidR="00221B6D" w:rsidTr="4B96F792" w14:paraId="79590327" w14:textId="77777777">
        <w:trPr>
          <w:trHeight w:val="284"/>
        </w:trPr>
        <w:tc>
          <w:tcPr>
            <w:tcW w:w="3000"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7491" w:type="dxa"/>
            <w:tcBorders>
              <w:bottom w:val="single" w:color="auto" w:sz="4" w:space="0"/>
            </w:tcBorders>
            <w:tcMar/>
            <w:vAlign w:val="center"/>
          </w:tcPr>
          <w:p w:rsidRPr="00972DAD" w:rsidR="00221B6D" w:rsidP="4B96F792" w:rsidRDefault="00221B6D" w14:paraId="1BC89717" w14:textId="531EEF49">
            <w:pPr>
              <w:suppressAutoHyphens/>
              <w:spacing w:after="0" w:line="240" w:lineRule="auto"/>
              <w:ind w:left="72"/>
              <w:rPr>
                <w:rFonts w:ascii="Cambria" w:hAnsi="Cambria" w:eastAsia="Times New Roman" w:cs="Times New Roman"/>
                <w:color w:val="FF0000"/>
                <w:sz w:val="20"/>
                <w:szCs w:val="20"/>
                <w:lang w:eastAsia="zh-CN"/>
              </w:rPr>
            </w:pPr>
            <w:r w:rsidRPr="4B96F792" w:rsidR="5B82E338">
              <w:rPr>
                <w:rFonts w:ascii="Cambria" w:hAnsi="Cambria" w:eastAsia="Times New Roman" w:cs="Times New Roman"/>
                <w:color w:val="FF0000"/>
                <w:sz w:val="20"/>
                <w:szCs w:val="20"/>
                <w:lang w:eastAsia="zh-CN"/>
              </w:rPr>
              <w:t>-</w:t>
            </w:r>
          </w:p>
        </w:tc>
      </w:tr>
      <w:tr w:rsidRPr="00972DAD" w:rsidR="00221B6D" w:rsidTr="4B96F792" w14:paraId="4F603DEB" w14:textId="77777777">
        <w:trPr>
          <w:trHeight w:val="284"/>
        </w:trPr>
        <w:tc>
          <w:tcPr>
            <w:tcW w:w="3000"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7491" w:type="dxa"/>
            <w:tcMar/>
            <w:vAlign w:val="center"/>
          </w:tcPr>
          <w:p w:rsidRPr="00972DAD" w:rsidR="00221B6D" w:rsidP="4B96F792" w:rsidRDefault="00221B6D" w14:paraId="74C547CB" w14:textId="47F10C09">
            <w:pPr>
              <w:suppressAutoHyphens/>
              <w:spacing w:after="0" w:line="240" w:lineRule="auto"/>
              <w:ind w:left="72"/>
              <w:rPr>
                <w:rFonts w:ascii="Cambria" w:hAnsi="Cambria" w:eastAsia="Times New Roman" w:cs="Times New Roman"/>
                <w:sz w:val="20"/>
                <w:szCs w:val="20"/>
                <w:lang w:eastAsia="zh-CN"/>
              </w:rPr>
            </w:pPr>
            <w:r w:rsidRPr="4B96F792" w:rsidR="786C6DC4">
              <w:rPr>
                <w:rFonts w:ascii="Cambria" w:hAnsi="Cambria" w:eastAsia="Times New Roman" w:cs="Times New Roman"/>
                <w:sz w:val="20"/>
                <w:szCs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4B96F792"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4B96F792" w:rsidRDefault="00844EAD" w14:paraId="2D9AB4AF" w14:textId="1D3211AC">
            <w:pPr>
              <w:suppressAutoHyphens/>
              <w:spacing w:after="0" w:line="240" w:lineRule="auto"/>
              <w:rPr>
                <w:rFonts w:ascii="Cambria" w:hAnsi="Cambria" w:eastAsia="Times New Roman" w:cs="Times New Roman"/>
                <w:sz w:val="20"/>
                <w:szCs w:val="20"/>
                <w:lang w:val="it-IT" w:eastAsia="zh-CN"/>
              </w:rPr>
            </w:pPr>
            <w:r w:rsidRPr="4B96F792" w:rsidR="7989443A">
              <w:rPr>
                <w:rFonts w:ascii="Cambria" w:hAnsi="Cambria" w:eastAsia="Times New Roman" w:cs="Times New Roman"/>
                <w:sz w:val="20"/>
                <w:szCs w:val="20"/>
                <w:lang w:val="it-IT" w:eastAsia="zh-CN"/>
              </w:rPr>
              <w:t>videoproiector</w:t>
            </w:r>
          </w:p>
        </w:tc>
      </w:tr>
      <w:tr w:rsidRPr="00972DAD" w:rsidR="00844EAD" w:rsidTr="4B96F792"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4B96F792" w:rsidRDefault="00844EAD" w14:paraId="1E6271C3" w14:textId="619ADDE3">
            <w:pPr>
              <w:suppressAutoHyphens/>
              <w:spacing w:after="0" w:line="240" w:lineRule="auto"/>
              <w:rPr>
                <w:rFonts w:ascii="Cambria" w:hAnsi="Cambria" w:eastAsia="Times New Roman" w:cs="Times New Roman"/>
                <w:sz w:val="20"/>
                <w:szCs w:val="20"/>
                <w:lang w:val="it-IT" w:eastAsia="zh-CN"/>
              </w:rPr>
            </w:pPr>
            <w:r w:rsidRPr="4B96F792" w:rsidR="597D8456">
              <w:rPr>
                <w:rFonts w:ascii="Cambria" w:hAnsi="Cambria" w:eastAsia="Times New Roman" w:cs="Times New Roman"/>
                <w:sz w:val="20"/>
                <w:szCs w:val="20"/>
                <w:lang w:val="it-IT" w:eastAsia="zh-CN"/>
              </w:rPr>
              <w:t>Sală</w:t>
            </w:r>
            <w:r w:rsidRPr="4B96F792" w:rsidR="597D8456">
              <w:rPr>
                <w:rFonts w:ascii="Cambria" w:hAnsi="Cambria" w:eastAsia="Times New Roman" w:cs="Times New Roman"/>
                <w:sz w:val="20"/>
                <w:szCs w:val="20"/>
                <w:lang w:val="it-IT" w:eastAsia="zh-CN"/>
              </w:rPr>
              <w:t xml:space="preserve"> </w:t>
            </w:r>
            <w:r w:rsidRPr="4B96F792" w:rsidR="597D8456">
              <w:rPr>
                <w:rFonts w:ascii="Cambria" w:hAnsi="Cambria" w:eastAsia="Times New Roman" w:cs="Times New Roman"/>
                <w:sz w:val="20"/>
                <w:szCs w:val="20"/>
                <w:lang w:val="it-IT" w:eastAsia="zh-CN"/>
              </w:rPr>
              <w:t>adecvată</w:t>
            </w:r>
            <w:r w:rsidRPr="4B96F792" w:rsidR="597D8456">
              <w:rPr>
                <w:rFonts w:ascii="Cambria" w:hAnsi="Cambria" w:eastAsia="Times New Roman" w:cs="Times New Roman"/>
                <w:sz w:val="20"/>
                <w:szCs w:val="20"/>
                <w:lang w:val="it-IT" w:eastAsia="zh-CN"/>
              </w:rPr>
              <w:t xml:space="preserve"> </w:t>
            </w:r>
            <w:r w:rsidRPr="4B96F792" w:rsidR="597D8456">
              <w:rPr>
                <w:rFonts w:ascii="Cambria" w:hAnsi="Cambria" w:eastAsia="Times New Roman" w:cs="Times New Roman"/>
                <w:sz w:val="20"/>
                <w:szCs w:val="20"/>
                <w:lang w:val="it-IT" w:eastAsia="zh-CN"/>
              </w:rPr>
              <w:t>pentru</w:t>
            </w:r>
            <w:r w:rsidRPr="4B96F792" w:rsidR="597D8456">
              <w:rPr>
                <w:rFonts w:ascii="Cambria" w:hAnsi="Cambria" w:eastAsia="Times New Roman" w:cs="Times New Roman"/>
                <w:sz w:val="20"/>
                <w:szCs w:val="20"/>
                <w:lang w:val="it-IT" w:eastAsia="zh-CN"/>
              </w:rPr>
              <w:t xml:space="preserve"> </w:t>
            </w:r>
            <w:r w:rsidRPr="4B96F792" w:rsidR="597D8456">
              <w:rPr>
                <w:rFonts w:ascii="Cambria" w:hAnsi="Cambria" w:eastAsia="Times New Roman" w:cs="Times New Roman"/>
                <w:sz w:val="20"/>
                <w:szCs w:val="20"/>
                <w:lang w:val="it-IT" w:eastAsia="zh-CN"/>
              </w:rPr>
              <w:t>activități</w:t>
            </w:r>
            <w:r w:rsidRPr="4B96F792" w:rsidR="597D8456">
              <w:rPr>
                <w:rFonts w:ascii="Cambria" w:hAnsi="Cambria" w:eastAsia="Times New Roman" w:cs="Times New Roman"/>
                <w:sz w:val="20"/>
                <w:szCs w:val="20"/>
                <w:lang w:val="it-IT" w:eastAsia="zh-CN"/>
              </w:rPr>
              <w:t xml:space="preserve"> </w:t>
            </w:r>
            <w:r w:rsidRPr="4B96F792" w:rsidR="597D8456">
              <w:rPr>
                <w:rFonts w:ascii="Cambria" w:hAnsi="Cambria" w:eastAsia="Times New Roman" w:cs="Times New Roman"/>
                <w:sz w:val="20"/>
                <w:szCs w:val="20"/>
                <w:lang w:val="it-IT" w:eastAsia="zh-CN"/>
              </w:rPr>
              <w:t>în</w:t>
            </w:r>
            <w:r w:rsidRPr="4B96F792" w:rsidR="597D8456">
              <w:rPr>
                <w:rFonts w:ascii="Cambria" w:hAnsi="Cambria" w:eastAsia="Times New Roman" w:cs="Times New Roman"/>
                <w:sz w:val="20"/>
                <w:szCs w:val="20"/>
                <w:lang w:val="it-IT" w:eastAsia="zh-CN"/>
              </w:rPr>
              <w:t xml:space="preserve"> grupuri mici</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0"/>
        <w:gridCol w:w="8721"/>
      </w:tblGrid>
      <w:tr w:rsidRPr="0039068A" w:rsidR="00551CC4" w:rsidTr="4B96F792" w14:paraId="691B4F18" w14:textId="77777777">
        <w:trPr>
          <w:cantSplit/>
          <w:trHeight w:val="2884"/>
        </w:trPr>
        <w:tc>
          <w:tcPr>
            <w:tcW w:w="1770"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8721" w:type="dxa"/>
            <w:tcMar/>
            <w:vAlign w:val="center"/>
          </w:tcPr>
          <w:p w:rsidR="00796905" w:rsidP="4B96F792" w:rsidRDefault="00796905" w14:paraId="1F733097" w14:textId="087AC8EF">
            <w:pPr>
              <w:pStyle w:val="Default"/>
              <w:rPr>
                <w:rFonts w:ascii="Cambria" w:hAnsi="Cambria" w:eastAsia="Cambria" w:cs="Cambria"/>
                <w:sz w:val="20"/>
                <w:szCs w:val="20"/>
              </w:rPr>
            </w:pPr>
          </w:p>
          <w:p w:rsidR="00796905" w:rsidP="4B96F792" w:rsidRDefault="00796905" w14:paraId="211BC36F" w14:textId="77777777">
            <w:pPr>
              <w:pStyle w:val="Default"/>
              <w:rPr>
                <w:rFonts w:ascii="Cambria" w:hAnsi="Cambria" w:eastAsia="Cambria" w:cs="Cambria"/>
                <w:sz w:val="20"/>
                <w:szCs w:val="20"/>
              </w:rPr>
            </w:pPr>
            <w:r w:rsidRPr="4B96F792" w:rsidR="7917FC7B">
              <w:rPr>
                <w:rFonts w:ascii="Cambria" w:hAnsi="Cambria" w:eastAsia="Cambria" w:cs="Cambria"/>
                <w:sz w:val="20"/>
                <w:szCs w:val="20"/>
              </w:rPr>
              <w:t xml:space="preserve">- Proiectarea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realizarea de cercetări sociologice (culegere, prelucrare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analiză de date sociale) în </w:t>
            </w:r>
            <w:r w:rsidRPr="4B96F792" w:rsidR="7917FC7B">
              <w:rPr>
                <w:rFonts w:ascii="Cambria" w:hAnsi="Cambria" w:eastAsia="Cambria" w:cs="Cambria"/>
                <w:sz w:val="20"/>
                <w:szCs w:val="20"/>
              </w:rPr>
              <w:t>organizaţii</w:t>
            </w:r>
            <w:r w:rsidRPr="4B96F792" w:rsidR="7917FC7B">
              <w:rPr>
                <w:rFonts w:ascii="Cambria" w:hAnsi="Cambria" w:eastAsia="Cambria" w:cs="Cambria"/>
                <w:sz w:val="20"/>
                <w:szCs w:val="20"/>
              </w:rPr>
              <w:t xml:space="preserve">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w:t>
            </w:r>
            <w:r w:rsidRPr="4B96F792" w:rsidR="7917FC7B">
              <w:rPr>
                <w:rFonts w:ascii="Cambria" w:hAnsi="Cambria" w:eastAsia="Cambria" w:cs="Cambria"/>
                <w:sz w:val="20"/>
                <w:szCs w:val="20"/>
              </w:rPr>
              <w:t>comunităţi</w:t>
            </w:r>
            <w:r w:rsidRPr="4B96F792" w:rsidR="7917FC7B">
              <w:rPr>
                <w:rFonts w:ascii="Cambria" w:hAnsi="Cambria" w:eastAsia="Cambria" w:cs="Cambria"/>
                <w:sz w:val="20"/>
                <w:szCs w:val="20"/>
              </w:rPr>
              <w:t xml:space="preserve">, cercetări culturale, studii de </w:t>
            </w:r>
            <w:r w:rsidRPr="4B96F792" w:rsidR="7917FC7B">
              <w:rPr>
                <w:rFonts w:ascii="Cambria" w:hAnsi="Cambria" w:eastAsia="Cambria" w:cs="Cambria"/>
                <w:sz w:val="20"/>
                <w:szCs w:val="20"/>
              </w:rPr>
              <w:t>piaţă</w:t>
            </w:r>
            <w:r w:rsidRPr="4B96F792" w:rsidR="7917FC7B">
              <w:rPr>
                <w:rFonts w:ascii="Cambria" w:hAnsi="Cambria" w:eastAsia="Cambria" w:cs="Cambria"/>
                <w:sz w:val="20"/>
                <w:szCs w:val="20"/>
              </w:rPr>
              <w:t xml:space="preserve"> etc </w:t>
            </w:r>
          </w:p>
          <w:p w:rsidR="00796905" w:rsidP="4B96F792" w:rsidRDefault="00796905" w14:paraId="4125441A" w14:textId="77777777">
            <w:pPr>
              <w:pStyle w:val="Default"/>
              <w:rPr>
                <w:rFonts w:ascii="Cambria" w:hAnsi="Cambria" w:eastAsia="Cambria" w:cs="Cambria"/>
                <w:sz w:val="20"/>
                <w:szCs w:val="20"/>
              </w:rPr>
            </w:pPr>
          </w:p>
          <w:p w:rsidR="00796905" w:rsidP="4B96F792" w:rsidRDefault="00796905" w14:paraId="4DB27DEC" w14:textId="77777777">
            <w:pPr>
              <w:pStyle w:val="Default"/>
              <w:rPr>
                <w:rFonts w:ascii="Cambria" w:hAnsi="Cambria" w:eastAsia="Cambria" w:cs="Cambria"/>
                <w:sz w:val="20"/>
                <w:szCs w:val="20"/>
              </w:rPr>
            </w:pPr>
            <w:r w:rsidRPr="4B96F792" w:rsidR="7917FC7B">
              <w:rPr>
                <w:rFonts w:ascii="Cambria" w:hAnsi="Cambria" w:eastAsia="Cambria" w:cs="Cambria"/>
                <w:sz w:val="20"/>
                <w:szCs w:val="20"/>
              </w:rPr>
              <w:t xml:space="preserve">- Gestionarea sistemelor de date sociale </w:t>
            </w:r>
          </w:p>
          <w:p w:rsidR="00796905" w:rsidP="4B96F792" w:rsidRDefault="00796905" w14:paraId="5395B6D4" w14:textId="77777777">
            <w:pPr>
              <w:pStyle w:val="Default"/>
              <w:rPr>
                <w:rFonts w:ascii="Cambria" w:hAnsi="Cambria" w:eastAsia="Cambria" w:cs="Cambria"/>
                <w:sz w:val="20"/>
                <w:szCs w:val="20"/>
              </w:rPr>
            </w:pPr>
          </w:p>
          <w:p w:rsidR="00796905" w:rsidP="4B96F792" w:rsidRDefault="00796905" w14:paraId="0A3A00D3" w14:textId="20ABA559">
            <w:pPr>
              <w:pStyle w:val="Default"/>
              <w:rPr>
                <w:rFonts w:ascii="Cambria" w:hAnsi="Cambria" w:eastAsia="Cambria" w:cs="Cambria"/>
                <w:sz w:val="20"/>
                <w:szCs w:val="20"/>
              </w:rPr>
            </w:pPr>
            <w:r w:rsidRPr="4B96F792" w:rsidR="7917FC7B">
              <w:rPr>
                <w:rFonts w:ascii="Cambria" w:hAnsi="Cambria" w:eastAsia="Cambria" w:cs="Cambria"/>
                <w:sz w:val="20"/>
                <w:szCs w:val="20"/>
              </w:rPr>
              <w:t xml:space="preserve">- </w:t>
            </w:r>
            <w:r w:rsidRPr="4B96F792" w:rsidR="7917FC7B">
              <w:rPr>
                <w:rFonts w:ascii="Cambria" w:hAnsi="Cambria" w:eastAsia="Cambria" w:cs="Cambria"/>
                <w:sz w:val="20"/>
                <w:szCs w:val="20"/>
              </w:rPr>
              <w:t xml:space="preserve">Utilizarea adecvată a perspectivei antropologice, a eticii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practicii specifice disc</w:t>
            </w:r>
            <w:r w:rsidRPr="4B96F792" w:rsidR="7917FC7B">
              <w:rPr>
                <w:rFonts w:ascii="Cambria" w:hAnsi="Cambria" w:eastAsia="Cambria" w:cs="Cambria"/>
                <w:sz w:val="20"/>
                <w:szCs w:val="20"/>
              </w:rPr>
              <w:t>ip</w:t>
            </w:r>
            <w:r w:rsidRPr="4B96F792" w:rsidR="7917FC7B">
              <w:rPr>
                <w:rFonts w:ascii="Cambria" w:hAnsi="Cambria" w:eastAsia="Cambria" w:cs="Cambria"/>
                <w:sz w:val="20"/>
                <w:szCs w:val="20"/>
              </w:rPr>
              <w:t>linei</w:t>
            </w:r>
          </w:p>
          <w:p w:rsidR="4B96F792" w:rsidP="4B96F792" w:rsidRDefault="4B96F792" w14:paraId="073042B0" w14:textId="77B709CF">
            <w:pPr>
              <w:pStyle w:val="Default"/>
              <w:rPr>
                <w:rFonts w:ascii="Cambria" w:hAnsi="Cambria" w:eastAsia="Cambria" w:cs="Cambria"/>
                <w:sz w:val="20"/>
                <w:szCs w:val="20"/>
              </w:rPr>
            </w:pPr>
          </w:p>
          <w:p w:rsidR="00796905" w:rsidP="4B96F792" w:rsidRDefault="00796905" w14:paraId="6591684D" w14:textId="0A8DBBE7">
            <w:pPr>
              <w:pStyle w:val="Default"/>
              <w:rPr>
                <w:rFonts w:ascii="Cambria" w:hAnsi="Cambria" w:eastAsia="Cambria" w:cs="Cambria"/>
                <w:sz w:val="20"/>
                <w:szCs w:val="20"/>
              </w:rPr>
            </w:pPr>
            <w:r w:rsidRPr="4B96F792" w:rsidR="7917FC7B">
              <w:rPr>
                <w:rFonts w:ascii="Cambria" w:hAnsi="Cambria" w:eastAsia="Cambria" w:cs="Cambria"/>
                <w:sz w:val="20"/>
                <w:szCs w:val="20"/>
              </w:rPr>
              <w:t xml:space="preserve">- </w:t>
            </w:r>
            <w:r w:rsidRPr="4B96F792" w:rsidR="7917FC7B">
              <w:rPr>
                <w:rFonts w:ascii="Cambria" w:hAnsi="Cambria" w:eastAsia="Cambria" w:cs="Cambria"/>
                <w:sz w:val="20"/>
                <w:szCs w:val="20"/>
              </w:rPr>
              <w:t>Elaborarea studiilor antropologice</w:t>
            </w:r>
            <w:r w:rsidRPr="4B96F792" w:rsidR="7917FC7B">
              <w:rPr>
                <w:rFonts w:ascii="Cambria" w:hAnsi="Cambria" w:eastAsia="Cambria" w:cs="Cambria"/>
                <w:sz w:val="20"/>
                <w:szCs w:val="20"/>
              </w:rPr>
              <w:t xml:space="preserve"> </w:t>
            </w:r>
          </w:p>
          <w:p w:rsidR="4B96F792" w:rsidP="4B96F792" w:rsidRDefault="4B96F792" w14:paraId="411BCC32" w14:textId="00A0CA27">
            <w:pPr>
              <w:pStyle w:val="Default"/>
              <w:rPr>
                <w:rFonts w:ascii="Cambria" w:hAnsi="Cambria" w:eastAsia="Cambria" w:cs="Cambria"/>
                <w:sz w:val="20"/>
                <w:szCs w:val="20"/>
              </w:rPr>
            </w:pPr>
          </w:p>
          <w:p w:rsidR="00796905" w:rsidP="4B96F792" w:rsidRDefault="00796905" w14:paraId="165B304F" w14:textId="4E07B3E7">
            <w:pPr>
              <w:pStyle w:val="Default"/>
              <w:rPr>
                <w:rFonts w:ascii="Cambria" w:hAnsi="Cambria" w:eastAsia="Cambria" w:cs="Cambria"/>
                <w:sz w:val="20"/>
                <w:szCs w:val="20"/>
              </w:rPr>
            </w:pPr>
            <w:r w:rsidRPr="4B96F792" w:rsidR="7917FC7B">
              <w:rPr>
                <w:rFonts w:ascii="Cambria" w:hAnsi="Cambria" w:eastAsia="Cambria" w:cs="Cambria"/>
                <w:sz w:val="20"/>
                <w:szCs w:val="20"/>
              </w:rPr>
              <w:t xml:space="preserve">- </w:t>
            </w:r>
            <w:r w:rsidRPr="4B96F792" w:rsidR="7917FC7B">
              <w:rPr>
                <w:rFonts w:ascii="Cambria" w:hAnsi="Cambria" w:eastAsia="Cambria" w:cs="Cambria"/>
                <w:sz w:val="20"/>
                <w:szCs w:val="20"/>
              </w:rPr>
              <w:t xml:space="preserve">Culegerea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prelucrarea de date etnografice </w:t>
            </w:r>
          </w:p>
          <w:p w:rsidR="00796905" w:rsidP="4B96F792" w:rsidRDefault="00796905" w14:paraId="4359147A" w14:textId="77777777">
            <w:pPr>
              <w:pStyle w:val="Default"/>
              <w:rPr>
                <w:rFonts w:ascii="Cambria" w:hAnsi="Cambria" w:eastAsia="Cambria" w:cs="Cambria"/>
                <w:sz w:val="20"/>
                <w:szCs w:val="20"/>
              </w:rPr>
            </w:pPr>
          </w:p>
          <w:p w:rsidRPr="00A74D64" w:rsidR="00551CC4" w:rsidP="4B96F792" w:rsidRDefault="00551CC4" w14:paraId="59C4AC85" w14:textId="51A0A56C">
            <w:pPr>
              <w:pStyle w:val="Default"/>
              <w:spacing w:after="0" w:line="240" w:lineRule="auto"/>
              <w:ind/>
              <w:rPr>
                <w:rFonts w:ascii="Cambria" w:hAnsi="Cambria" w:eastAsia="Cambria" w:cs="Cambria"/>
                <w:sz w:val="20"/>
                <w:szCs w:val="20"/>
                <w:highlight w:val="yellow"/>
              </w:rPr>
            </w:pPr>
            <w:r w:rsidRPr="4B96F792" w:rsidR="7917FC7B">
              <w:rPr>
                <w:rFonts w:ascii="Cambria" w:hAnsi="Cambria" w:eastAsia="Cambria" w:cs="Cambria"/>
                <w:sz w:val="20"/>
                <w:szCs w:val="20"/>
              </w:rPr>
              <w:t xml:space="preserve">- </w:t>
            </w:r>
            <w:r w:rsidRPr="4B96F792" w:rsidR="7917FC7B">
              <w:rPr>
                <w:rFonts w:ascii="Cambria" w:hAnsi="Cambria" w:eastAsia="Cambria" w:cs="Cambria"/>
                <w:sz w:val="20"/>
                <w:szCs w:val="20"/>
              </w:rPr>
              <w:t xml:space="preserve">Redactarea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comunicarea studiilor </w:t>
            </w:r>
            <w:r w:rsidRPr="4B96F792" w:rsidR="7917FC7B">
              <w:rPr>
                <w:rFonts w:ascii="Cambria" w:hAnsi="Cambria" w:eastAsia="Cambria" w:cs="Cambria"/>
                <w:sz w:val="20"/>
                <w:szCs w:val="20"/>
              </w:rPr>
              <w:t>şi</w:t>
            </w:r>
            <w:r w:rsidRPr="4B96F792" w:rsidR="7917FC7B">
              <w:rPr>
                <w:rFonts w:ascii="Cambria" w:hAnsi="Cambria" w:eastAsia="Cambria" w:cs="Cambria"/>
                <w:sz w:val="20"/>
                <w:szCs w:val="20"/>
              </w:rPr>
              <w:t xml:space="preserve"> ideilor antropologice unor </w:t>
            </w:r>
            <w:r w:rsidRPr="4B96F792" w:rsidR="7917FC7B">
              <w:rPr>
                <w:rFonts w:ascii="Cambria" w:hAnsi="Cambria" w:eastAsia="Cambria" w:cs="Cambria"/>
                <w:sz w:val="20"/>
                <w:szCs w:val="20"/>
              </w:rPr>
              <w:t>audienţe</w:t>
            </w:r>
            <w:r w:rsidRPr="4B96F792" w:rsidR="7917FC7B">
              <w:rPr>
                <w:rFonts w:ascii="Cambria" w:hAnsi="Cambria" w:eastAsia="Cambria" w:cs="Cambria"/>
                <w:sz w:val="20"/>
                <w:szCs w:val="20"/>
              </w:rPr>
              <w:t xml:space="preserve"> diverse</w:t>
            </w:r>
            <w:r w:rsidRPr="4B96F792" w:rsidR="7917FC7B">
              <w:rPr>
                <w:rFonts w:ascii="Cambria" w:hAnsi="Cambria" w:eastAsia="Cambria" w:cs="Cambria"/>
                <w:sz w:val="20"/>
                <w:szCs w:val="20"/>
              </w:rPr>
              <w:t xml:space="preserve"> </w:t>
            </w:r>
          </w:p>
        </w:tc>
      </w:tr>
      <w:tr w:rsidRPr="0039068A" w:rsidR="00551CC4" w:rsidTr="4B96F792" w14:paraId="1F728DFD" w14:textId="77777777">
        <w:trPr>
          <w:cantSplit/>
          <w:trHeight w:val="1775"/>
        </w:trPr>
        <w:tc>
          <w:tcPr>
            <w:tcW w:w="1770"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8721" w:type="dxa"/>
            <w:tcMar/>
            <w:vAlign w:val="center"/>
          </w:tcPr>
          <w:p w:rsidR="00796905" w:rsidP="4B96F792" w:rsidRDefault="00796905" w14:paraId="43AB54FF" w14:textId="77777777">
            <w:pPr>
              <w:pStyle w:val="Default"/>
              <w:rPr>
                <w:rFonts w:ascii="Cambria" w:hAnsi="Cambria" w:eastAsia="Cambria" w:cs="Cambria"/>
                <w:sz w:val="20"/>
                <w:szCs w:val="20"/>
              </w:rPr>
            </w:pPr>
          </w:p>
          <w:p w:rsidR="00C0333B" w:rsidP="4B96F792" w:rsidRDefault="00796905" w14:paraId="1160272E" w14:textId="1EE89108">
            <w:pPr>
              <w:pStyle w:val="Default"/>
              <w:rPr>
                <w:rFonts w:ascii="Cambria" w:hAnsi="Cambria" w:eastAsia="Cambria" w:cs="Cambria"/>
                <w:sz w:val="20"/>
                <w:szCs w:val="20"/>
              </w:rPr>
            </w:pPr>
            <w:r w:rsidRPr="4B96F792" w:rsidR="7917FC7B">
              <w:rPr>
                <w:rFonts w:ascii="Cambria" w:hAnsi="Cambria" w:eastAsia="Cambria" w:cs="Cambria"/>
                <w:sz w:val="20"/>
                <w:szCs w:val="20"/>
              </w:rPr>
              <w:t xml:space="preserve">- </w:t>
            </w:r>
            <w:r w:rsidRPr="4B96F792" w:rsidR="00C0333B">
              <w:rPr>
                <w:rFonts w:ascii="Cambria" w:hAnsi="Cambria" w:eastAsia="Cambria" w:cs="Cambria"/>
                <w:sz w:val="20"/>
                <w:szCs w:val="20"/>
              </w:rPr>
              <w:t xml:space="preserve">Aplicarea strategiilor de muncă riguroasă, eficientă, de punctualitate </w:t>
            </w:r>
            <w:r w:rsidRPr="4B96F792" w:rsidR="00C0333B">
              <w:rPr>
                <w:rFonts w:ascii="Cambria" w:hAnsi="Cambria" w:eastAsia="Cambria" w:cs="Cambria"/>
                <w:sz w:val="20"/>
                <w:szCs w:val="20"/>
              </w:rPr>
              <w:t>şi</w:t>
            </w:r>
            <w:r w:rsidRPr="4B96F792" w:rsidR="00C0333B">
              <w:rPr>
                <w:rFonts w:ascii="Cambria" w:hAnsi="Cambria" w:eastAsia="Cambria" w:cs="Cambria"/>
                <w:sz w:val="20"/>
                <w:szCs w:val="20"/>
              </w:rPr>
              <w:t xml:space="preserve"> răspundere personală </w:t>
            </w:r>
            <w:r w:rsidRPr="4B96F792" w:rsidR="00C0333B">
              <w:rPr>
                <w:rFonts w:ascii="Cambria" w:hAnsi="Cambria" w:eastAsia="Cambria" w:cs="Cambria"/>
                <w:sz w:val="20"/>
                <w:szCs w:val="20"/>
              </w:rPr>
              <w:t>faţă</w:t>
            </w:r>
            <w:r w:rsidRPr="4B96F792" w:rsidR="00C0333B">
              <w:rPr>
                <w:rFonts w:ascii="Cambria" w:hAnsi="Cambria" w:eastAsia="Cambria" w:cs="Cambria"/>
                <w:sz w:val="20"/>
                <w:szCs w:val="20"/>
              </w:rPr>
              <w:t xml:space="preserve"> de rezultat, pe baza principiilor, normelor </w:t>
            </w:r>
            <w:r w:rsidRPr="4B96F792" w:rsidR="00C0333B">
              <w:rPr>
                <w:rFonts w:ascii="Cambria" w:hAnsi="Cambria" w:eastAsia="Cambria" w:cs="Cambria"/>
                <w:sz w:val="20"/>
                <w:szCs w:val="20"/>
              </w:rPr>
              <w:t>şi</w:t>
            </w:r>
            <w:r w:rsidRPr="4B96F792" w:rsidR="00C0333B">
              <w:rPr>
                <w:rFonts w:ascii="Cambria" w:hAnsi="Cambria" w:eastAsia="Cambria" w:cs="Cambria"/>
                <w:sz w:val="20"/>
                <w:szCs w:val="20"/>
              </w:rPr>
              <w:t xml:space="preserve"> a valorilor codului de etică profesională. </w:t>
            </w:r>
          </w:p>
          <w:p w:rsidR="00C0333B" w:rsidP="4B96F792" w:rsidRDefault="00C0333B" w14:paraId="30CBC0F1" w14:textId="77777777">
            <w:pPr>
              <w:pStyle w:val="Default"/>
              <w:rPr>
                <w:rFonts w:ascii="Cambria" w:hAnsi="Cambria" w:eastAsia="Cambria" w:cs="Cambria"/>
                <w:sz w:val="20"/>
                <w:szCs w:val="20"/>
              </w:rPr>
            </w:pPr>
          </w:p>
          <w:p w:rsidR="00C0333B" w:rsidP="4B96F792" w:rsidRDefault="00C0333B" w14:paraId="13B59DFE" w14:textId="77777777">
            <w:pPr>
              <w:pStyle w:val="Default"/>
              <w:rPr>
                <w:rFonts w:ascii="Cambria" w:hAnsi="Cambria" w:eastAsia="Cambria" w:cs="Cambria"/>
                <w:sz w:val="20"/>
                <w:szCs w:val="20"/>
              </w:rPr>
            </w:pPr>
            <w:r w:rsidRPr="4B96F792" w:rsidR="00C0333B">
              <w:rPr>
                <w:rFonts w:ascii="Cambria" w:hAnsi="Cambria" w:eastAsia="Cambria" w:cs="Cambria"/>
                <w:sz w:val="20"/>
                <w:szCs w:val="20"/>
              </w:rPr>
              <w:t xml:space="preserve">- Aplicarea tehnicilor de </w:t>
            </w:r>
            <w:r w:rsidRPr="4B96F792" w:rsidR="00C0333B">
              <w:rPr>
                <w:rFonts w:ascii="Cambria" w:hAnsi="Cambria" w:eastAsia="Cambria" w:cs="Cambria"/>
                <w:sz w:val="20"/>
                <w:szCs w:val="20"/>
              </w:rPr>
              <w:t>relaţionare</w:t>
            </w:r>
            <w:r w:rsidRPr="4B96F792" w:rsidR="00C0333B">
              <w:rPr>
                <w:rFonts w:ascii="Cambria" w:hAnsi="Cambria" w:eastAsia="Cambria" w:cs="Cambria"/>
                <w:sz w:val="20"/>
                <w:szCs w:val="20"/>
              </w:rPr>
              <w:t xml:space="preserve"> în grup a </w:t>
            </w:r>
            <w:r w:rsidRPr="4B96F792" w:rsidR="00C0333B">
              <w:rPr>
                <w:rFonts w:ascii="Cambria" w:hAnsi="Cambria" w:eastAsia="Cambria" w:cs="Cambria"/>
                <w:sz w:val="20"/>
                <w:szCs w:val="20"/>
              </w:rPr>
              <w:t>capacităţilor</w:t>
            </w:r>
            <w:r w:rsidRPr="4B96F792" w:rsidR="00C0333B">
              <w:rPr>
                <w:rFonts w:ascii="Cambria" w:hAnsi="Cambria" w:eastAsia="Cambria" w:cs="Cambria"/>
                <w:sz w:val="20"/>
                <w:szCs w:val="20"/>
              </w:rPr>
              <w:t xml:space="preserve"> empatice de comunicare interpersonală </w:t>
            </w:r>
            <w:r w:rsidRPr="4B96F792" w:rsidR="00C0333B">
              <w:rPr>
                <w:rFonts w:ascii="Cambria" w:hAnsi="Cambria" w:eastAsia="Cambria" w:cs="Cambria"/>
                <w:sz w:val="20"/>
                <w:szCs w:val="20"/>
              </w:rPr>
              <w:t>şi</w:t>
            </w:r>
            <w:r w:rsidRPr="4B96F792" w:rsidR="00C0333B">
              <w:rPr>
                <w:rFonts w:ascii="Cambria" w:hAnsi="Cambria" w:eastAsia="Cambria" w:cs="Cambria"/>
                <w:sz w:val="20"/>
                <w:szCs w:val="20"/>
              </w:rPr>
              <w:t xml:space="preserve"> de asumare de roluri specifice în cadrul muncii în echipă.</w:t>
            </w:r>
          </w:p>
          <w:p w:rsidR="00C0333B" w:rsidP="4B96F792" w:rsidRDefault="00C0333B" w14:paraId="397AD4D8" w14:textId="77777777">
            <w:pPr>
              <w:pStyle w:val="Default"/>
              <w:rPr>
                <w:rFonts w:ascii="Cambria" w:hAnsi="Cambria" w:eastAsia="Cambria" w:cs="Cambria"/>
                <w:sz w:val="20"/>
                <w:szCs w:val="20"/>
              </w:rPr>
            </w:pPr>
          </w:p>
          <w:p w:rsidR="00C0333B" w:rsidP="4B96F792" w:rsidRDefault="00C0333B" w14:paraId="38442575" w14:textId="77777777">
            <w:pPr>
              <w:pStyle w:val="Default"/>
              <w:rPr>
                <w:rFonts w:ascii="Cambria" w:hAnsi="Cambria" w:eastAsia="Cambria" w:cs="Cambria"/>
                <w:sz w:val="20"/>
                <w:szCs w:val="20"/>
              </w:rPr>
            </w:pPr>
            <w:r w:rsidRPr="4B96F792" w:rsidR="00C0333B">
              <w:rPr>
                <w:rFonts w:ascii="Cambria" w:hAnsi="Cambria" w:eastAsia="Cambria" w:cs="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4B96F792" w:rsidRDefault="00C0333B" w14:paraId="295DBBD1" w14:textId="77777777">
            <w:pPr>
              <w:pStyle w:val="Default"/>
              <w:rPr>
                <w:rFonts w:ascii="Cambria" w:hAnsi="Cambria" w:eastAsia="Cambria" w:cs="Cambria"/>
                <w:sz w:val="20"/>
                <w:szCs w:val="20"/>
              </w:rPr>
            </w:pPr>
          </w:p>
          <w:p w:rsidR="00C0333B" w:rsidP="4B96F792" w:rsidRDefault="00C0333B" w14:paraId="0BFB1141" w14:textId="77777777">
            <w:pPr>
              <w:pStyle w:val="Default"/>
              <w:rPr>
                <w:rFonts w:ascii="Cambria" w:hAnsi="Cambria" w:eastAsia="Cambria" w:cs="Cambria"/>
                <w:sz w:val="20"/>
                <w:szCs w:val="20"/>
              </w:rPr>
            </w:pPr>
            <w:r w:rsidRPr="4B96F792" w:rsidR="00C0333B">
              <w:rPr>
                <w:rFonts w:ascii="Cambria" w:hAnsi="Cambria" w:eastAsia="Cambria" w:cs="Cambria"/>
                <w:sz w:val="20"/>
                <w:szCs w:val="20"/>
              </w:rPr>
              <w:t>- Utilizarea unei limbi de circulație internațională pentru studiul bibliografiei, redactarea textelor științifice și prezentarea rezultatelor unui public internațional.</w:t>
            </w:r>
          </w:p>
          <w:p w:rsidRPr="00A74D64" w:rsidR="00551CC4" w:rsidP="4B96F792" w:rsidRDefault="00551CC4" w14:paraId="038EFC52" w14:textId="77777777">
            <w:pPr>
              <w:spacing w:after="0" w:line="240" w:lineRule="auto"/>
              <w:ind w:left="641"/>
              <w:rPr>
                <w:rFonts w:ascii="Cambria" w:hAnsi="Cambria" w:eastAsia="Cambria" w:cs="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4B96F792"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4B96F792" w:rsidP="4B96F792" w:rsidRDefault="4B96F792" w14:paraId="4562A5AA" w14:textId="0971FB0B">
            <w:pPr>
              <w:spacing w:before="0" w:beforeAutospacing="off" w:after="0" w:afterAutospacing="off" w:line="276" w:lineRule="auto"/>
            </w:pPr>
            <w:r w:rsidRPr="4B96F792" w:rsidR="4B96F792">
              <w:rPr>
                <w:rFonts w:ascii="Cambria" w:hAnsi="Cambria" w:eastAsia="Cambria" w:cs="Cambria"/>
                <w:sz w:val="20"/>
                <w:szCs w:val="20"/>
                <w:lang w:val="ro"/>
              </w:rPr>
              <w:t>Cursul îşi propune să ofere studenţilor instrumente teoretice şi metodologice pentru analiza naturii inegalităţilor sociale, a proceselor de stratificare socială și de formare istorică a claselor sociale.</w:t>
            </w:r>
          </w:p>
        </w:tc>
      </w:tr>
      <w:tr w:rsidRPr="000B7D0D" w:rsidR="0083358D" w:rsidTr="4B96F792"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4B96F792" w:rsidP="4B96F792" w:rsidRDefault="4B96F792" w14:paraId="43F28C95" w14:textId="636C577E">
            <w:pPr>
              <w:spacing w:before="0" w:beforeAutospacing="off" w:after="0" w:afterAutospacing="off"/>
            </w:pPr>
            <w:r w:rsidRPr="4B96F792" w:rsidR="4B96F792">
              <w:rPr>
                <w:rFonts w:ascii="Cambria" w:hAnsi="Cambria" w:eastAsia="Cambria" w:cs="Cambria"/>
                <w:sz w:val="20"/>
                <w:szCs w:val="20"/>
                <w:lang w:val="ro"/>
              </w:rPr>
              <w:t>Lecturile cerute și activitatea didactică de la curs și seminar analizează schimbările de structură socială din ţările europene postsocialiste, respectiv situaţiei din România contemporană. Construind pe cunoştinţele anterioare ale studenţilor din domeniul teoriilor sociologice (în special Weber, Marx şi Bourdieu), cursul încurajează reflecţia asupra conceptelor ce fundamentează abordările genezei şi reproducerii inegalităţilor sociale şi re-evaluarea critică a acestor concepte. Studenţii se vor familiariza cu principalele scheme de stratificare socială, cu modalităţile de operaţionalizare a noţiunilor de „clasă socială”, cu indicatorii de mobilitate şi reproducere socială.</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sidRPr="4B96F792" w:rsidR="002A3A93">
        <w:rPr>
          <w:rFonts w:ascii="Cambria" w:hAnsi="Cambria"/>
          <w:b w:val="1"/>
          <w:bCs w:val="1"/>
          <w:sz w:val="20"/>
          <w:szCs w:val="20"/>
        </w:rPr>
        <w:t>8</w:t>
      </w:r>
      <w:r w:rsidRPr="4B96F792" w:rsidR="0084063D">
        <w:rPr>
          <w:rFonts w:ascii="Cambria" w:hAnsi="Cambria"/>
          <w:b w:val="1"/>
          <w:bCs w:val="1"/>
          <w:sz w:val="20"/>
          <w:szCs w:val="20"/>
        </w:rPr>
        <w:t xml:space="preserve">. </w:t>
      </w:r>
      <w:r w:rsidRPr="4B96F792" w:rsidR="0084063D">
        <w:rPr>
          <w:rFonts w:ascii="Cambria" w:hAnsi="Cambria"/>
          <w:b w:val="1"/>
          <w:bCs w:val="1"/>
          <w:sz w:val="20"/>
          <w:szCs w:val="20"/>
        </w:rPr>
        <w:t>Conținuturi</w:t>
      </w:r>
    </w:p>
    <w:tbl>
      <w:tblPr>
        <w:tblStyle w:val="TabelNormal"/>
        <w:bidiVisual w:val="0"/>
        <w:tblW w:w="0" w:type="auto"/>
        <w:tblLayout w:type="fixed"/>
        <w:tblLook w:val="01E0" w:firstRow="1" w:lastRow="1" w:firstColumn="1" w:lastColumn="1" w:noHBand="0" w:noVBand="0"/>
      </w:tblPr>
      <w:tblGrid>
        <w:gridCol w:w="6305"/>
        <w:gridCol w:w="2099"/>
        <w:gridCol w:w="1355"/>
      </w:tblGrid>
      <w:tr w:rsidR="4B96F792" w:rsidTr="4B96F792" w14:paraId="7AF041A4">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7DB7F021" w14:textId="03E3A4EE">
            <w:pPr>
              <w:tabs>
                <w:tab w:val="left" w:leader="none" w:pos="284"/>
              </w:tabs>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8.1 Curs</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74D9C364" w14:textId="63C74CE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Metode de predare</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317F8C93" w14:textId="194C17E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Observaţii</w:t>
            </w:r>
          </w:p>
        </w:tc>
      </w:tr>
      <w:tr w:rsidR="4B96F792" w:rsidTr="4B96F792" w14:paraId="3A1A636C">
        <w:trPr>
          <w:trHeight w:val="531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29B61B83" w14:textId="745CEDB4">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Partea I: Perspective teoretice și concepte fundamentale: clasă, clasă socială, status, habitus, mobilitate socială, reproducere socială</w:t>
            </w:r>
          </w:p>
          <w:p w:rsidR="4B96F792" w:rsidP="4B96F792" w:rsidRDefault="4B96F792" w14:paraId="57A65DB7" w14:textId="2BE58E93">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Introducere: relevanța clasei pentru înțelegerea societății contemporane</w:t>
            </w:r>
          </w:p>
          <w:p w:rsidR="4B96F792" w:rsidP="4B96F792" w:rsidRDefault="4B96F792" w14:paraId="5F6AFA69" w14:textId="58EB5F3A">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Clasă și status la Marx și Weber</w:t>
            </w:r>
          </w:p>
          <w:p w:rsidR="4B96F792" w:rsidP="4B96F792" w:rsidRDefault="4B96F792" w14:paraId="65AB398F" w14:textId="3286B1AF">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Perspectiva funcționalistă și critica sa. Abordări contemporane ale clasei: John Goldthorpe, Erik Olin Wright, Guy Standing</w:t>
            </w:r>
          </w:p>
          <w:p w:rsidR="4B96F792" w:rsidP="4B96F792" w:rsidRDefault="4B96F792" w14:paraId="1C7F9C35" w14:textId="5B877BA0">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Pierre Bourdieu: habitus și putere simbolică</w:t>
            </w:r>
          </w:p>
          <w:p w:rsidR="4B96F792" w:rsidP="4B96F792" w:rsidRDefault="4B96F792" w14:paraId="442CD462" w14:textId="250AE471">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Aspecte metodologice în cercetarea clasei, a stratificării și mobilității sociale</w:t>
            </w:r>
          </w:p>
          <w:p w:rsidR="4B96F792" w:rsidP="4B96F792" w:rsidRDefault="4B96F792" w14:paraId="1C5EBC78" w14:textId="3DA3FC6E">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Partea a II-a: Clasa azi – cum se manifestă inegalitatea de clasă</w:t>
            </w:r>
          </w:p>
          <w:p w:rsidR="4B96F792" w:rsidP="4B96F792" w:rsidRDefault="4B96F792" w14:paraId="1B3D8B95" w14:textId="5C885A13">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Inegalități de șanse educaționale</w:t>
            </w:r>
          </w:p>
          <w:p w:rsidR="4B96F792" w:rsidP="4B96F792" w:rsidRDefault="4B96F792" w14:paraId="03E38F98" w14:textId="0078F1BB">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Inegalitate de clasă și transformarea muncii: globalizare, digitalizare, migrație și etnie</w:t>
            </w:r>
          </w:p>
          <w:p w:rsidR="4B96F792" w:rsidP="4B96F792" w:rsidRDefault="4B96F792" w14:paraId="163ABE55" w14:textId="6BC1E350">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Inegalitate de clasă și transformarea muncii: dimensiunea de gen</w:t>
            </w:r>
          </w:p>
          <w:p w:rsidR="4B96F792" w:rsidP="4B96F792" w:rsidRDefault="4B96F792" w14:paraId="41930ED2" w14:textId="503032F3">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Marginalizare și segregare socială. Impactul inegal al crizei climatice</w:t>
            </w:r>
          </w:p>
          <w:p w:rsidR="4B96F792" w:rsidP="4B96F792" w:rsidRDefault="4B96F792" w14:paraId="7AD3E5A9" w14:textId="23F6C03F">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Partea a III-a: Structură de clasă în România </w:t>
            </w:r>
          </w:p>
          <w:p w:rsidR="4B96F792" w:rsidP="4B96F792" w:rsidRDefault="4B96F792" w14:paraId="51CA80B6" w14:textId="279D01BD">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Industrializare și formarea clasei muncitoare</w:t>
            </w:r>
          </w:p>
          <w:p w:rsidR="4B96F792" w:rsidP="4B96F792" w:rsidRDefault="4B96F792" w14:paraId="3661254A" w14:textId="5C6EC181">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Structură de clasă în România contemporană</w:t>
            </w:r>
          </w:p>
          <w:p w:rsidR="4B96F792" w:rsidP="4B96F792" w:rsidRDefault="4B96F792" w14:paraId="0FA95238" w14:textId="7F931868">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Structură de clasă în România contemporană (continuare)</w:t>
            </w:r>
          </w:p>
          <w:p w:rsidR="4B96F792" w:rsidP="4B96F792" w:rsidRDefault="4B96F792" w14:paraId="2D8517D3" w14:textId="1F8E0427">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4B96F792" w:rsidR="4B96F792">
              <w:rPr>
                <w:rFonts w:ascii="Cambria" w:hAnsi="Cambria" w:eastAsia="Cambria" w:cs="Cambria"/>
                <w:color w:val="000000" w:themeColor="text1" w:themeTint="FF" w:themeShade="FF"/>
                <w:sz w:val="20"/>
                <w:szCs w:val="20"/>
                <w:lang w:val="ro"/>
              </w:rPr>
              <w:t>– 14. Recapitulare</w:t>
            </w:r>
          </w:p>
          <w:p w:rsidR="4B96F792" w:rsidP="4B96F792" w:rsidRDefault="4B96F792" w14:paraId="38D4E922" w14:textId="0BE9C415">
            <w:pPr>
              <w:spacing w:before="0" w:beforeAutospacing="off" w:after="0" w:afterAutospacing="off" w:line="276" w:lineRule="auto"/>
              <w:ind w:left="720" w:right="0"/>
            </w:pPr>
            <w:r w:rsidRPr="4B96F792" w:rsidR="4B96F792">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1781D273" w14:textId="185B0903">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Expunere, rezentare power-point, întrebări de reflecţie, discuţii</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5B55FBA5" w14:textId="41B209AC">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Mici modificări pot apare pe parcurs, în funcție de nevoile de învățare ale studenților</w:t>
            </w:r>
          </w:p>
        </w:tc>
      </w:tr>
      <w:tr w:rsidR="4B96F792" w:rsidTr="4B96F792" w14:paraId="1E5815BE">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1CA60031" w14:textId="665D0E93">
            <w:pPr>
              <w:tabs>
                <w:tab w:val="left" w:leader="none" w:pos="284"/>
              </w:tabs>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8.2 Seminar</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79F61E1B" w14:textId="7BDD80DB">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Metode de predare</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237B8CCC" w14:textId="4D1CE485">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Observaţii</w:t>
            </w:r>
          </w:p>
        </w:tc>
      </w:tr>
      <w:tr w:rsidR="4B96F792" w:rsidTr="4B96F792" w14:paraId="25B05E04">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7B5F6C04" w14:textId="474A1015">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1. Inegalitate de clasă și hierarhii de status. Redistribuție, recunoaștere și participare politică. Dualism perspectival și justiție socială în abordarea lui Nancy Fraser</w:t>
            </w:r>
          </w:p>
          <w:p w:rsidR="4B96F792" w:rsidP="4B96F792" w:rsidRDefault="4B96F792" w14:paraId="5CDA03C5" w14:textId="0EF2ABF2">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De vizionat anterior seminarului: </w:t>
            </w:r>
            <w:r w:rsidRPr="4B96F792" w:rsidR="4B96F792">
              <w:rPr>
                <w:rFonts w:ascii="Cambria" w:hAnsi="Cambria" w:eastAsia="Cambria" w:cs="Cambria"/>
                <w:color w:val="000000" w:themeColor="text1" w:themeTint="FF" w:themeShade="FF"/>
                <w:sz w:val="20"/>
                <w:szCs w:val="20"/>
                <w:lang w:val="ro"/>
              </w:rPr>
              <w:t>Michael Sandel: Tirania meritului (TED Talk subtitrat în lb.română</w:t>
            </w:r>
          </w:p>
          <w:p w:rsidR="4B96F792" w:rsidP="4B96F792" w:rsidRDefault="4B96F792" w14:paraId="516D80DC" w14:textId="1D49786D">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Lecturi: </w:t>
            </w:r>
          </w:p>
          <w:p w:rsidR="4B96F792" w:rsidP="4B96F792" w:rsidRDefault="4B96F792" w14:paraId="3B28791E" w14:textId="0A12CB2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Fraser, Nancy (2012). Probleme de teorie socială. Despre clasă și statut în societatea capitalistă. În A.Honneth și N.Fraser, </w:t>
            </w:r>
            <w:r w:rsidRPr="4B96F792" w:rsidR="4B96F792">
              <w:rPr>
                <w:rFonts w:ascii="Cambria" w:hAnsi="Cambria" w:eastAsia="Cambria" w:cs="Cambria"/>
                <w:i w:val="1"/>
                <w:iCs w:val="1"/>
                <w:color w:val="000000" w:themeColor="text1" w:themeTint="FF" w:themeShade="FF"/>
                <w:sz w:val="20"/>
                <w:szCs w:val="20"/>
                <w:lang w:val="ro"/>
              </w:rPr>
              <w:t>Despre redistribuție și recunoaștere.</w:t>
            </w:r>
            <w:r w:rsidRPr="4B96F792" w:rsidR="4B96F792">
              <w:rPr>
                <w:rFonts w:ascii="Cambria" w:hAnsi="Cambria" w:eastAsia="Cambria" w:cs="Cambria"/>
                <w:color w:val="000000" w:themeColor="text1" w:themeTint="FF" w:themeShade="FF"/>
                <w:sz w:val="20"/>
                <w:szCs w:val="20"/>
                <w:lang w:val="ro"/>
              </w:rPr>
              <w:t>Cluj-Napoca: Tact, pp. 89-119.</w:t>
            </w:r>
          </w:p>
          <w:p w:rsidR="4B96F792" w:rsidP="4B96F792" w:rsidRDefault="4B96F792" w14:paraId="3DB502F8" w14:textId="63B0074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Sau:</w:t>
            </w:r>
          </w:p>
          <w:p w:rsidR="4B96F792" w:rsidP="4B96F792" w:rsidRDefault="4B96F792" w14:paraId="6B4AE0B0" w14:textId="36A64C0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Fraser, Nancy (1996). </w:t>
            </w:r>
            <w:r w:rsidRPr="4B96F792" w:rsidR="4B96F792">
              <w:rPr>
                <w:rFonts w:ascii="Cambria" w:hAnsi="Cambria" w:eastAsia="Cambria" w:cs="Cambria"/>
                <w:i w:val="1"/>
                <w:iCs w:val="1"/>
                <w:color w:val="000000" w:themeColor="text1" w:themeTint="FF" w:themeShade="FF"/>
                <w:sz w:val="20"/>
                <w:szCs w:val="20"/>
                <w:lang w:val="ro"/>
              </w:rPr>
              <w:t>Social justice in the age of identity politics. Redistribution, recognition, and participation.</w:t>
            </w:r>
            <w:r w:rsidRPr="4B96F792" w:rsidR="4B96F792">
              <w:rPr>
                <w:rFonts w:ascii="Cambria" w:hAnsi="Cambria" w:eastAsia="Cambria" w:cs="Cambria"/>
                <w:color w:val="000000" w:themeColor="text1" w:themeTint="FF" w:themeShade="FF"/>
                <w:sz w:val="20"/>
                <w:szCs w:val="20"/>
                <w:lang w:val="ro"/>
              </w:rPr>
              <w:t>The Tanner Lectures on Human Values, University of Stanford.</w:t>
            </w:r>
          </w:p>
          <w:p w:rsidR="4B96F792" w:rsidP="4B96F792" w:rsidRDefault="4B96F792" w14:paraId="1FB66A9F" w14:textId="11502CAF">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Lectură opțională: </w:t>
            </w:r>
          </w:p>
          <w:p w:rsidR="4B96F792" w:rsidP="4B96F792" w:rsidRDefault="4B96F792" w14:paraId="472246B7" w14:textId="5DA4872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“Despre sociologie cu Nancy Fraser”– interviu de Christine Schickert (2018). </w:t>
            </w:r>
            <w:r w:rsidRPr="4B96F792" w:rsidR="4B96F792">
              <w:rPr>
                <w:rFonts w:ascii="Cambria" w:hAnsi="Cambria" w:eastAsia="Cambria" w:cs="Cambria"/>
                <w:i w:val="1"/>
                <w:iCs w:val="1"/>
                <w:color w:val="000000" w:themeColor="text1" w:themeTint="FF" w:themeShade="FF"/>
                <w:sz w:val="20"/>
                <w:szCs w:val="20"/>
                <w:lang w:val="ro"/>
              </w:rPr>
              <w:t>Global Social Dialogue,</w:t>
            </w:r>
            <w:r w:rsidRPr="4B96F792" w:rsidR="4B96F792">
              <w:rPr>
                <w:rFonts w:ascii="Cambria" w:hAnsi="Cambria" w:eastAsia="Cambria" w:cs="Cambria"/>
                <w:color w:val="000000" w:themeColor="text1" w:themeTint="FF" w:themeShade="FF"/>
                <w:sz w:val="20"/>
                <w:szCs w:val="20"/>
                <w:lang w:val="ro"/>
              </w:rPr>
              <w:t>18(3): 5-9.</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11782CE2" w14:textId="302C0C0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vMerge w:val="restart"/>
            <w:tcBorders>
              <w:top w:val="single" w:sz="8"/>
              <w:left w:val="single" w:sz="8"/>
              <w:bottom w:val="single" w:sz="8"/>
              <w:right w:val="single" w:sz="8"/>
            </w:tcBorders>
            <w:tcMar>
              <w:left w:w="108" w:type="dxa"/>
              <w:right w:w="108" w:type="dxa"/>
            </w:tcMar>
            <w:vAlign w:val="top"/>
          </w:tcPr>
          <w:p w:rsidR="4B96F792" w:rsidP="4B96F792" w:rsidRDefault="4B96F792" w14:paraId="1FDAEF3D" w14:textId="7B514D8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Majoritatea seminarelor oferă posibilitatea alegerii unor lecturi în lb.română sau a unora similare în lb.engleză. </w:t>
            </w:r>
          </w:p>
          <w:p w:rsidR="4B96F792" w:rsidP="4B96F792" w:rsidRDefault="4B96F792" w14:paraId="10B4AAA3" w14:textId="3FEA539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22B4472B" w14:textId="415D8970">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Mici modificări pot apare pe parcurs în funcție de nevoile de învățare ale studenților. </w:t>
            </w:r>
          </w:p>
        </w:tc>
      </w:tr>
      <w:tr w:rsidR="4B96F792" w:rsidTr="4B96F792" w14:paraId="7F8E6088">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1C05A0C4" w14:textId="53517C77">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2. Clasa la Marx și Weber</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b w:val="1"/>
                <w:bCs w:val="1"/>
                <w:color w:val="000000" w:themeColor="text1" w:themeTint="FF" w:themeShade="FF"/>
                <w:sz w:val="20"/>
                <w:szCs w:val="20"/>
                <w:lang w:val="ro"/>
              </w:rPr>
              <w:t xml:space="preserve"> Lecturi:</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Weber, M. Class, Status, and Party, in </w:t>
            </w:r>
            <w:r w:rsidRPr="4B96F792" w:rsidR="4B96F792">
              <w:rPr>
                <w:rFonts w:ascii="Cambria" w:hAnsi="Cambria" w:eastAsia="Cambria" w:cs="Cambria"/>
                <w:i w:val="1"/>
                <w:iCs w:val="1"/>
                <w:color w:val="000000" w:themeColor="text1" w:themeTint="FF" w:themeShade="FF"/>
                <w:sz w:val="20"/>
                <w:szCs w:val="20"/>
                <w:lang w:val="ro"/>
              </w:rPr>
              <w:t>Economy and Society</w:t>
            </w:r>
            <w:r w:rsidRPr="4B96F792" w:rsidR="4B96F792">
              <w:rPr>
                <w:rFonts w:ascii="Cambria" w:hAnsi="Cambria" w:eastAsia="Cambria" w:cs="Cambria"/>
                <w:color w:val="000000" w:themeColor="text1" w:themeTint="FF" w:themeShade="FF"/>
                <w:sz w:val="20"/>
                <w:szCs w:val="20"/>
                <w:lang w:val="ro"/>
              </w:rPr>
              <w:t xml:space="preserve"> (trans. by H.H. Gerth &amp; C. Wright Mills)</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Marx, K. Muncă salariată și capital, </w:t>
            </w:r>
            <w:r w:rsidRPr="4B96F792" w:rsidR="4B96F792">
              <w:rPr>
                <w:rFonts w:ascii="Cambria" w:hAnsi="Cambria" w:eastAsia="Cambria" w:cs="Cambria"/>
                <w:i w:val="1"/>
                <w:iCs w:val="1"/>
                <w:color w:val="000000" w:themeColor="text1" w:themeTint="FF" w:themeShade="FF"/>
                <w:sz w:val="20"/>
                <w:szCs w:val="20"/>
                <w:lang w:val="ro"/>
              </w:rPr>
              <w:t xml:space="preserve">Neue Rheinische Zeitung, </w:t>
            </w:r>
            <w:r w:rsidRPr="4B96F792" w:rsidR="4B96F792">
              <w:rPr>
                <w:rFonts w:ascii="Cambria" w:hAnsi="Cambria" w:eastAsia="Cambria" w:cs="Cambria"/>
                <w:color w:val="000000" w:themeColor="text1" w:themeTint="FF" w:themeShade="FF"/>
                <w:sz w:val="20"/>
                <w:szCs w:val="20"/>
                <w:lang w:val="ro"/>
              </w:rPr>
              <w:t xml:space="preserve">pp. 264-267 şi 269 (5-8 şi 11 aprilie, 1849 [1947]). Disponibil și: </w:t>
            </w:r>
            <w:hyperlink r:id="R7b401cf2e6b04ffd">
              <w:r w:rsidRPr="4B96F792" w:rsidR="4B96F792">
                <w:rPr>
                  <w:rStyle w:val="Hyperlink"/>
                  <w:rFonts w:ascii="Cambria" w:hAnsi="Cambria" w:eastAsia="Cambria" w:cs="Cambria"/>
                  <w:strike w:val="0"/>
                  <w:dstrike w:val="0"/>
                  <w:color w:val="467886"/>
                  <w:sz w:val="20"/>
                  <w:szCs w:val="20"/>
                  <w:u w:val="single"/>
                  <w:lang w:val="ro"/>
                </w:rPr>
                <w:t>www.marxists.org</w:t>
              </w:r>
              <w:r>
                <w:br/>
              </w:r>
            </w:hyperlink>
            <w:hyperlink r:id="R731de27563f44f98">
              <w:r w:rsidRPr="4B96F792" w:rsidR="4B96F792">
                <w:rPr>
                  <w:rStyle w:val="Hyperlink"/>
                  <w:rFonts w:ascii="Cambria" w:hAnsi="Cambria" w:eastAsia="Cambria" w:cs="Cambria"/>
                  <w:strike w:val="0"/>
                  <w:dstrike w:val="0"/>
                  <w:color w:val="467886"/>
                  <w:sz w:val="20"/>
                  <w:szCs w:val="20"/>
                  <w:u w:val="single"/>
                  <w:lang w:val="ro"/>
                </w:rPr>
                <w:t xml:space="preserve"> </w:t>
              </w:r>
            </w:hyperlink>
            <w:r w:rsidRPr="4B96F792" w:rsidR="4B96F792">
              <w:rPr>
                <w:rFonts w:ascii="Cambria" w:hAnsi="Cambria" w:eastAsia="Cambria" w:cs="Cambria"/>
                <w:color w:val="000000" w:themeColor="text1" w:themeTint="FF" w:themeShade="FF"/>
                <w:sz w:val="20"/>
                <w:szCs w:val="20"/>
                <w:lang w:val="ro"/>
              </w:rPr>
              <w:t xml:space="preserve"> Erik Olin Wright (2000): The Shadow of Exploitation in Weber’s Class Analysis. Conference presentation.</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0FF248E1" w14:textId="63A53AB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vMerge/>
            <w:tcBorders>
              <w:top w:sz="0"/>
              <w:left w:val="single" w:sz="0"/>
              <w:bottom w:val="single" w:sz="0"/>
              <w:right w:val="single" w:sz="0"/>
            </w:tcBorders>
            <w:tcMar/>
            <w:vAlign w:val="center"/>
          </w:tcPr>
          <w:p w14:paraId="6D79C1C2"/>
        </w:tc>
      </w:tr>
      <w:tr w:rsidR="4B96F792" w:rsidTr="4B96F792" w14:paraId="70ADB155">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394E946F" w14:textId="54E98651">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3. Perspective contemporane asupra clasei</w:t>
            </w:r>
          </w:p>
          <w:p w:rsidR="4B96F792" w:rsidP="4B96F792" w:rsidRDefault="4B96F792" w14:paraId="22F3EC61" w14:textId="2C1F9932">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Lecturi:</w:t>
            </w:r>
          </w:p>
          <w:p w:rsidR="4B96F792" w:rsidP="4B96F792" w:rsidRDefault="4B96F792" w14:paraId="70E638CE" w14:textId="56E81FCB">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Pop, Cristian (2016). </w:t>
            </w:r>
            <w:r w:rsidRPr="4B96F792" w:rsidR="4B96F792">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4B96F792" w:rsidR="4B96F792">
              <w:rPr>
                <w:rFonts w:ascii="Cambria" w:hAnsi="Cambria" w:eastAsia="Cambria" w:cs="Cambria"/>
                <w:color w:val="000000" w:themeColor="text1" w:themeTint="FF" w:themeShade="FF"/>
                <w:sz w:val="20"/>
                <w:szCs w:val="20"/>
                <w:lang w:val="ro"/>
              </w:rPr>
              <w:t xml:space="preserve">Cluj-Napoca: Presa Universitară Clujeană. "Introducere", pp. 13-19 și Capitolul 1, pp. 25-33. </w:t>
            </w:r>
          </w:p>
          <w:p w:rsidR="4B96F792" w:rsidP="4B96F792" w:rsidRDefault="4B96F792" w14:paraId="0F5D86DA" w14:textId="5CAAE08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Sau:</w:t>
            </w:r>
          </w:p>
          <w:p w:rsidR="4B96F792" w:rsidP="4B96F792" w:rsidRDefault="4B96F792" w14:paraId="66A9FF34" w14:textId="7722549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Kalb, Don (2015). Introduction: class and the new anthropological holims. In J.Carrier and D.Kalb (eds.) </w:t>
            </w:r>
            <w:r w:rsidRPr="4B96F792" w:rsidR="4B96F792">
              <w:rPr>
                <w:rFonts w:ascii="Cambria" w:hAnsi="Cambria" w:eastAsia="Cambria" w:cs="Cambria"/>
                <w:i w:val="1"/>
                <w:iCs w:val="1"/>
                <w:color w:val="000000" w:themeColor="text1" w:themeTint="FF" w:themeShade="FF"/>
                <w:sz w:val="20"/>
                <w:szCs w:val="20"/>
                <w:lang w:val="ro"/>
              </w:rPr>
              <w:t xml:space="preserve">Anthropologies of Class. Power, Practice, and Inequality. </w:t>
            </w:r>
            <w:r w:rsidRPr="4B96F792" w:rsidR="4B96F792">
              <w:rPr>
                <w:rFonts w:ascii="Cambria" w:hAnsi="Cambria" w:eastAsia="Cambria" w:cs="Cambria"/>
                <w:color w:val="000000" w:themeColor="text1" w:themeTint="FF" w:themeShade="FF"/>
                <w:sz w:val="20"/>
                <w:szCs w:val="20"/>
                <w:lang w:val="ro"/>
              </w:rPr>
              <w:t xml:space="preserve">Cambridge: Cambridge University Press, pp. 1-28. </w:t>
            </w:r>
          </w:p>
          <w:p w:rsidR="4B96F792" w:rsidP="4B96F792" w:rsidRDefault="4B96F792" w14:paraId="431E5E20" w14:textId="5A50C605">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 xml:space="preserve">Lecturi opționale: </w:t>
            </w:r>
            <w:r>
              <w:br/>
            </w:r>
            <w:r w:rsidRPr="4B96F792" w:rsidR="4B96F792">
              <w:rPr>
                <w:rFonts w:ascii="Cambria" w:hAnsi="Cambria" w:eastAsia="Cambria" w:cs="Cambria"/>
                <w:color w:val="000000" w:themeColor="text1" w:themeTint="FF" w:themeShade="FF"/>
                <w:sz w:val="20"/>
                <w:szCs w:val="20"/>
                <w:lang w:val="ro"/>
              </w:rPr>
              <w:t xml:space="preserve">Standing, Guy. 2007. Labour recommodification in the global transformation. In </w:t>
            </w:r>
            <w:r w:rsidRPr="4B96F792" w:rsidR="4B96F792">
              <w:rPr>
                <w:rFonts w:ascii="Cambria" w:hAnsi="Cambria" w:eastAsia="Cambria" w:cs="Cambria"/>
                <w:i w:val="1"/>
                <w:iCs w:val="1"/>
                <w:color w:val="000000" w:themeColor="text1" w:themeTint="FF" w:themeShade="FF"/>
                <w:sz w:val="20"/>
                <w:szCs w:val="20"/>
                <w:lang w:val="ro"/>
              </w:rPr>
              <w:t>Reading Karl Polanyi for the 21</w:t>
            </w:r>
            <w:r w:rsidRPr="4B96F792" w:rsidR="4B96F792">
              <w:rPr>
                <w:rFonts w:ascii="Cambria" w:hAnsi="Cambria" w:eastAsia="Cambria" w:cs="Cambria"/>
                <w:i w:val="1"/>
                <w:iCs w:val="1"/>
                <w:color w:val="000000" w:themeColor="text1" w:themeTint="FF" w:themeShade="FF"/>
                <w:sz w:val="20"/>
                <w:szCs w:val="20"/>
                <w:vertAlign w:val="superscript"/>
                <w:lang w:val="ro"/>
              </w:rPr>
              <w:t>st</w:t>
            </w:r>
            <w:r w:rsidRPr="4B96F792" w:rsidR="4B96F792">
              <w:rPr>
                <w:rFonts w:ascii="Cambria" w:hAnsi="Cambria" w:eastAsia="Cambria" w:cs="Cambria"/>
                <w:i w:val="1"/>
                <w:iCs w:val="1"/>
                <w:color w:val="000000" w:themeColor="text1" w:themeTint="FF" w:themeShade="FF"/>
                <w:sz w:val="20"/>
                <w:szCs w:val="20"/>
                <w:lang w:val="ro"/>
              </w:rPr>
              <w:t xml:space="preserve"> Century, </w:t>
            </w:r>
            <w:r w:rsidRPr="4B96F792" w:rsidR="4B96F792">
              <w:rPr>
                <w:rFonts w:ascii="Cambria" w:hAnsi="Cambria" w:eastAsia="Cambria" w:cs="Cambria"/>
                <w:color w:val="000000" w:themeColor="text1" w:themeTint="FF" w:themeShade="FF"/>
                <w:sz w:val="20"/>
                <w:szCs w:val="20"/>
                <w:lang w:val="ro"/>
              </w:rPr>
              <w:t>edited by Ayshe Bugra and Kan Agatan, 67-95</w:t>
            </w:r>
            <w:r w:rsidRPr="4B96F792" w:rsidR="4B96F792">
              <w:rPr>
                <w:rFonts w:ascii="Cambria" w:hAnsi="Cambria" w:eastAsia="Cambria" w:cs="Cambria"/>
                <w:i w:val="1"/>
                <w:iCs w:val="1"/>
                <w:color w:val="000000" w:themeColor="text1" w:themeTint="FF" w:themeShade="FF"/>
                <w:sz w:val="20"/>
                <w:szCs w:val="20"/>
                <w:lang w:val="ro"/>
              </w:rPr>
              <w:t xml:space="preserve">. </w:t>
            </w:r>
            <w:r w:rsidRPr="4B96F792" w:rsidR="4B96F792">
              <w:rPr>
                <w:rFonts w:ascii="Cambria" w:hAnsi="Cambria" w:eastAsia="Cambria" w:cs="Cambria"/>
                <w:color w:val="000000" w:themeColor="text1" w:themeTint="FF" w:themeShade="FF"/>
                <w:sz w:val="20"/>
                <w:szCs w:val="20"/>
                <w:lang w:val="ro"/>
              </w:rPr>
              <w:t>Basingstoke: Palgrave Macmillan.</w:t>
            </w:r>
          </w:p>
          <w:p w:rsidR="4B96F792" w:rsidP="4B96F792" w:rsidRDefault="4B96F792" w14:paraId="5732C060" w14:textId="7C042DB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Kalb, D (2004): ‘Bare Legs Like Ice’: Recasting Class for Local/Global Inquiry. In </w:t>
            </w:r>
            <w:r w:rsidRPr="4B96F792" w:rsidR="4B96F792">
              <w:rPr>
                <w:rFonts w:ascii="Cambria" w:hAnsi="Cambria" w:eastAsia="Cambria" w:cs="Cambria"/>
                <w:i w:val="1"/>
                <w:iCs w:val="1"/>
                <w:color w:val="000000" w:themeColor="text1" w:themeTint="FF" w:themeShade="FF"/>
                <w:sz w:val="20"/>
                <w:szCs w:val="20"/>
                <w:lang w:val="ro"/>
              </w:rPr>
              <w:t>Critical junctions: anthropology and history beyond the cultural turn,</w:t>
            </w:r>
            <w:r w:rsidRPr="4B96F792" w:rsidR="4B96F792">
              <w:rPr>
                <w:rFonts w:ascii="Cambria" w:hAnsi="Cambria" w:eastAsia="Cambria" w:cs="Cambria"/>
                <w:color w:val="000000" w:themeColor="text1" w:themeTint="FF" w:themeShade="FF"/>
                <w:sz w:val="20"/>
                <w:szCs w:val="20"/>
                <w:lang w:val="ro"/>
              </w:rPr>
              <w:t xml:space="preserve"> D. Kalb and H. Tak (eds.), New York: Berghahn Books, pp. 109-136.</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4C7CB406" w14:textId="122A3A2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nil" w:sz="8"/>
              <w:left w:val="single" w:sz="8"/>
              <w:bottom w:val="single" w:sz="8"/>
              <w:right w:val="single" w:sz="8"/>
            </w:tcBorders>
            <w:tcMar>
              <w:left w:w="108" w:type="dxa"/>
              <w:right w:w="108" w:type="dxa"/>
            </w:tcMar>
            <w:vAlign w:val="top"/>
          </w:tcPr>
          <w:p w:rsidR="4B96F792" w:rsidP="4B96F792" w:rsidRDefault="4B96F792" w14:paraId="54E69919" w14:textId="4682A95C">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3DFE8066">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04E56BF2" w14:textId="69FAA646">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4. Pierre Bourdieu: habitus și putere simbolică</w:t>
            </w:r>
          </w:p>
          <w:p w:rsidR="4B96F792" w:rsidP="4B96F792" w:rsidRDefault="4B96F792" w14:paraId="786CBB97" w14:textId="64051125">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Lecturi:</w:t>
            </w:r>
          </w:p>
          <w:p w:rsidR="4B96F792" w:rsidP="4B96F792" w:rsidRDefault="4B96F792" w14:paraId="45B00C4A" w14:textId="6E6B10C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Bourdieu, P. (1989). Social space and symbolic power. </w:t>
            </w:r>
            <w:r w:rsidRPr="4B96F792" w:rsidR="4B96F792">
              <w:rPr>
                <w:rFonts w:ascii="Cambria" w:hAnsi="Cambria" w:eastAsia="Cambria" w:cs="Cambria"/>
                <w:i w:val="1"/>
                <w:iCs w:val="1"/>
                <w:color w:val="000000" w:themeColor="text1" w:themeTint="FF" w:themeShade="FF"/>
                <w:sz w:val="20"/>
                <w:szCs w:val="20"/>
                <w:lang w:val="ro"/>
              </w:rPr>
              <w:t>In Other Words</w:t>
            </w:r>
            <w:r w:rsidRPr="4B96F792" w:rsidR="4B96F792">
              <w:rPr>
                <w:rFonts w:ascii="Cambria" w:hAnsi="Cambria" w:eastAsia="Cambria" w:cs="Cambria"/>
                <w:color w:val="000000" w:themeColor="text1" w:themeTint="FF" w:themeShade="FF"/>
                <w:sz w:val="20"/>
                <w:szCs w:val="20"/>
                <w:lang w:val="ro"/>
              </w:rPr>
              <w:t>, Polity Press: Cambridge, pp. 123-139.</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Sau:</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Bourdieu, P. (1999). </w:t>
            </w:r>
            <w:r w:rsidRPr="4B96F792" w:rsidR="4B96F792">
              <w:rPr>
                <w:rFonts w:ascii="Cambria" w:hAnsi="Cambria" w:eastAsia="Cambria" w:cs="Cambria"/>
                <w:i w:val="1"/>
                <w:iCs w:val="1"/>
                <w:color w:val="000000" w:themeColor="text1" w:themeTint="FF" w:themeShade="FF"/>
                <w:sz w:val="20"/>
                <w:szCs w:val="20"/>
                <w:lang w:val="ro"/>
              </w:rPr>
              <w:t xml:space="preserve">Rațiuni practice, </w:t>
            </w:r>
            <w:r w:rsidRPr="4B96F792" w:rsidR="4B96F792">
              <w:rPr>
                <w:rFonts w:ascii="Cambria" w:hAnsi="Cambria" w:eastAsia="Cambria" w:cs="Cambria"/>
                <w:color w:val="000000" w:themeColor="text1" w:themeTint="FF" w:themeShade="FF"/>
                <w:sz w:val="20"/>
                <w:szCs w:val="20"/>
                <w:lang w:val="ro"/>
              </w:rPr>
              <w:t>București: Meridiane. Cap. "Spațiu social și spațiu simbolic", pp. 8-25.</w:t>
            </w:r>
          </w:p>
          <w:p w:rsidR="4B96F792" w:rsidP="4B96F792" w:rsidRDefault="4B96F792" w14:paraId="4CC28CAE" w14:textId="09AE3847">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 xml:space="preserve">Lectură opțională: </w:t>
            </w:r>
            <w:r>
              <w:br/>
            </w:r>
            <w:r w:rsidRPr="4B96F792" w:rsidR="4B96F792">
              <w:rPr>
                <w:rFonts w:ascii="Cambria" w:hAnsi="Cambria" w:eastAsia="Cambria" w:cs="Cambria"/>
                <w:color w:val="000000" w:themeColor="text1" w:themeTint="FF" w:themeShade="FF"/>
                <w:sz w:val="20"/>
                <w:szCs w:val="20"/>
                <w:lang w:val="ro"/>
              </w:rPr>
              <w:t xml:space="preserve">Bourdieu, P. (1960): The Peasant and his body. </w:t>
            </w:r>
            <w:r w:rsidRPr="4B96F792" w:rsidR="4B96F792">
              <w:rPr>
                <w:rFonts w:ascii="Cambria" w:hAnsi="Cambria" w:eastAsia="Cambria" w:cs="Cambria"/>
                <w:i w:val="1"/>
                <w:iCs w:val="1"/>
                <w:color w:val="000000" w:themeColor="text1" w:themeTint="FF" w:themeShade="FF"/>
                <w:sz w:val="20"/>
                <w:szCs w:val="20"/>
                <w:lang w:val="ro"/>
              </w:rPr>
              <w:t>Ethnography</w:t>
            </w:r>
            <w:r w:rsidRPr="4B96F792" w:rsidR="4B96F792">
              <w:rPr>
                <w:rFonts w:ascii="Cambria" w:hAnsi="Cambria" w:eastAsia="Cambria" w:cs="Cambria"/>
                <w:color w:val="000000" w:themeColor="text1" w:themeTint="FF" w:themeShade="FF"/>
                <w:sz w:val="20"/>
                <w:szCs w:val="20"/>
                <w:lang w:val="ro"/>
              </w:rPr>
              <w:t>. vol. 5(4): 579-599.</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59036FE3" w14:textId="7DE675C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38D825DF" w14:textId="7671A30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38B656EC">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5E0993D2" w14:textId="32812CAD">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5. Aspecte metodologice în cercetarea clasei, a stratificării și mobilității sociale</w:t>
            </w:r>
          </w:p>
          <w:p w:rsidR="4B96F792" w:rsidP="4B96F792" w:rsidRDefault="4B96F792" w14:paraId="4CADAE05" w14:textId="1F8A539C">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Lecturi:</w:t>
            </w:r>
          </w:p>
          <w:p w:rsidR="4B96F792" w:rsidP="4B96F792" w:rsidRDefault="4B96F792" w14:paraId="721645D3" w14:textId="3F7A054D">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Pop, Cristian (2016). </w:t>
            </w:r>
            <w:r w:rsidRPr="4B96F792" w:rsidR="4B96F792">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4B96F792" w:rsidR="4B96F792">
              <w:rPr>
                <w:rFonts w:ascii="Cambria" w:hAnsi="Cambria" w:eastAsia="Cambria" w:cs="Cambria"/>
                <w:color w:val="000000" w:themeColor="text1" w:themeTint="FF" w:themeShade="FF"/>
                <w:sz w:val="20"/>
                <w:szCs w:val="20"/>
                <w:lang w:val="ro"/>
              </w:rPr>
              <w:t>Cluj-Napoca: Presa Universitară Clujeană. Capitolul 1, pp. 34-58.</w:t>
            </w:r>
          </w:p>
          <w:p w:rsidR="4B96F792" w:rsidP="4B96F792" w:rsidRDefault="4B96F792" w14:paraId="1A8299C0" w14:textId="222E444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Sau:</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Eurofound (2017). </w:t>
            </w:r>
            <w:r w:rsidRPr="4B96F792" w:rsidR="4B96F792">
              <w:rPr>
                <w:rFonts w:ascii="Cambria" w:hAnsi="Cambria" w:eastAsia="Cambria" w:cs="Cambria"/>
                <w:i w:val="1"/>
                <w:iCs w:val="1"/>
                <w:color w:val="000000" w:themeColor="text1" w:themeTint="FF" w:themeShade="FF"/>
                <w:sz w:val="20"/>
                <w:szCs w:val="20"/>
                <w:lang w:val="ro"/>
              </w:rPr>
              <w:t xml:space="preserve">Social mobility in the EU, </w:t>
            </w:r>
            <w:r w:rsidRPr="4B96F792" w:rsidR="4B96F792">
              <w:rPr>
                <w:rFonts w:ascii="Cambria" w:hAnsi="Cambria" w:eastAsia="Cambria" w:cs="Cambria"/>
                <w:color w:val="000000" w:themeColor="text1" w:themeTint="FF" w:themeShade="FF"/>
                <w:sz w:val="20"/>
                <w:szCs w:val="20"/>
                <w:lang w:val="ro"/>
              </w:rPr>
              <w:t>Publications Office of the European Union, Luxembourg. Authors: Anna Ludwinek, Robert Anderson, Daphne Ahrendt, Jean-Marie Jungblut, Tadas Leončikas. Research managers: Anna Ludwinek, Robert Anderson.</w:t>
            </w:r>
          </w:p>
          <w:p w:rsidR="4B96F792" w:rsidP="4B96F792" w:rsidRDefault="4B96F792" w14:paraId="441C60AE" w14:textId="48FD8461">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 xml:space="preserve">Lectură opțională: </w:t>
            </w:r>
          </w:p>
          <w:p w:rsidR="4B96F792" w:rsidP="4B96F792" w:rsidRDefault="4B96F792" w14:paraId="6412871B" w14:textId="2DFB1B4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Cucu, Alina-Sandra și Culic, Irina (2012). Procese de configurare a claselor sociale în România. O analiză relațională a căsătoriilor pentru cinci generații. În T. Rotariu și V. Voineagu (eds.) </w:t>
            </w:r>
            <w:r w:rsidRPr="4B96F792" w:rsidR="4B96F792">
              <w:rPr>
                <w:rFonts w:ascii="Cambria" w:hAnsi="Cambria" w:eastAsia="Cambria" w:cs="Cambria"/>
                <w:i w:val="1"/>
                <w:iCs w:val="1"/>
                <w:color w:val="000000" w:themeColor="text1" w:themeTint="FF" w:themeShade="FF"/>
                <w:sz w:val="20"/>
                <w:szCs w:val="20"/>
                <w:lang w:val="ro"/>
              </w:rPr>
              <w:t>Inerție și schimbare.</w:t>
            </w:r>
            <w:r w:rsidRPr="4B96F792" w:rsidR="4B96F792">
              <w:rPr>
                <w:rFonts w:ascii="Cambria" w:hAnsi="Cambria" w:eastAsia="Cambria" w:cs="Cambria"/>
                <w:color w:val="000000" w:themeColor="text1" w:themeTint="FF" w:themeShade="FF"/>
                <w:sz w:val="20"/>
                <w:szCs w:val="20"/>
                <w:lang w:val="ro"/>
              </w:rPr>
              <w:t xml:space="preserve"> Iași: Polirom, pp. 159-178.</w:t>
            </w:r>
          </w:p>
          <w:p w:rsidR="4B96F792" w:rsidP="4B96F792" w:rsidRDefault="4B96F792" w14:paraId="154785D8" w14:textId="71FA6062">
            <w:pPr>
              <w:spacing w:before="0" w:beforeAutospacing="off" w:after="0" w:afterAutospacing="off" w:line="276" w:lineRule="auto"/>
            </w:pPr>
            <w:r w:rsidRPr="4B96F792" w:rsidR="4B96F792">
              <w:rPr>
                <w:rFonts w:ascii="Cambria" w:hAnsi="Cambria" w:eastAsia="Cambria" w:cs="Cambria"/>
                <w:sz w:val="20"/>
                <w:szCs w:val="20"/>
                <w:lang w:val="ro"/>
              </w:rPr>
              <w:t xml:space="preserve"> </w:t>
            </w:r>
          </w:p>
          <w:p w:rsidR="4B96F792" w:rsidP="4B96F792" w:rsidRDefault="4B96F792" w14:paraId="33E87526" w14:textId="0E3A0727">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La seminar: </w:t>
            </w:r>
            <w:r w:rsidRPr="4B96F792" w:rsidR="4B96F792">
              <w:rPr>
                <w:rFonts w:ascii="Cambria" w:hAnsi="Cambria" w:eastAsia="Cambria" w:cs="Cambria"/>
                <w:color w:val="000000" w:themeColor="text1" w:themeTint="FF" w:themeShade="FF"/>
                <w:sz w:val="20"/>
                <w:szCs w:val="20"/>
                <w:lang w:val="ro"/>
              </w:rPr>
              <w:t xml:space="preserve">Exerciții de calcul a indicatorilor de mobilitate socială: mobilitate ascendentă, descendentă; mobilitate structurală versus netă; imobilitate; șanse absolute și șanse relative. </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0F63E989" w14:textId="33A8537D">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 Rezolvarea unor exerciții de calcul al indicatorilor de mobilitate și reproducere socială</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26712B97" w14:textId="487E07D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5B03E0BC">
        <w:trPr>
          <w:trHeight w:val="1545"/>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1BD29B11" w14:textId="3629B1E1">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6. Educație formală și reproducerea intergenerațională a inegalităților sociale</w:t>
            </w:r>
          </w:p>
          <w:p w:rsidR="4B96F792" w:rsidP="4B96F792" w:rsidRDefault="4B96F792" w14:paraId="7A0E04F5" w14:textId="5F8F3ED9">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Lecturi: </w:t>
            </w:r>
          </w:p>
          <w:p w:rsidR="4B96F792" w:rsidP="4B96F792" w:rsidRDefault="4B96F792" w14:paraId="40B30CB5" w14:textId="42CDA6ED">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Rotariu, Traian (2004). Despre rolul școlii în procesele de mobilitate socială. </w:t>
            </w:r>
            <w:r w:rsidRPr="4B96F792" w:rsidR="4B96F792">
              <w:rPr>
                <w:rFonts w:ascii="Cambria" w:hAnsi="Cambria" w:eastAsia="Cambria" w:cs="Cambria"/>
                <w:i w:val="1"/>
                <w:iCs w:val="1"/>
                <w:color w:val="000000" w:themeColor="text1" w:themeTint="FF" w:themeShade="FF"/>
                <w:sz w:val="20"/>
                <w:szCs w:val="20"/>
                <w:lang w:val="ro"/>
              </w:rPr>
              <w:t xml:space="preserve">Studia Universitatis Babes-Bolyai, Seria Sociologica, </w:t>
            </w:r>
            <w:r w:rsidRPr="4B96F792" w:rsidR="4B96F792">
              <w:rPr>
                <w:rFonts w:ascii="Cambria" w:hAnsi="Cambria" w:eastAsia="Cambria" w:cs="Cambria"/>
                <w:color w:val="000000" w:themeColor="text1" w:themeTint="FF" w:themeShade="FF"/>
                <w:sz w:val="20"/>
                <w:szCs w:val="20"/>
                <w:lang w:val="ro"/>
              </w:rPr>
              <w:t>No. 2/2004. (parola de acces: qqq)</w:t>
            </w:r>
          </w:p>
          <w:p w:rsidR="4B96F792" w:rsidP="4B96F792" w:rsidRDefault="4B96F792" w14:paraId="2DFA0E58" w14:textId="3FBB7978">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Țoc, Sebastian (2016). Familie, şcoală şi success şcolar în învăţământul românesc. </w:t>
            </w:r>
            <w:r w:rsidRPr="4B96F792" w:rsidR="4B96F792">
              <w:rPr>
                <w:rFonts w:ascii="Cambria" w:hAnsi="Cambria" w:eastAsia="Cambria" w:cs="Cambria"/>
                <w:i w:val="1"/>
                <w:iCs w:val="1"/>
                <w:color w:val="000000" w:themeColor="text1" w:themeTint="FF" w:themeShade="FF"/>
                <w:sz w:val="20"/>
                <w:szCs w:val="20"/>
                <w:lang w:val="ro"/>
              </w:rPr>
              <w:t>Calitatea</w:t>
            </w:r>
            <w:r w:rsidRPr="4B96F792" w:rsidR="4B96F792">
              <w:rPr>
                <w:rFonts w:ascii="Cambria" w:hAnsi="Cambria" w:eastAsia="Cambria" w:cs="Cambria"/>
                <w:color w:val="000000" w:themeColor="text1" w:themeTint="FF" w:themeShade="FF"/>
                <w:sz w:val="20"/>
                <w:szCs w:val="20"/>
                <w:lang w:val="ro"/>
              </w:rPr>
              <w:t xml:space="preserve"> </w:t>
            </w:r>
            <w:r w:rsidRPr="4B96F792" w:rsidR="4B96F792">
              <w:rPr>
                <w:rFonts w:ascii="Cambria" w:hAnsi="Cambria" w:eastAsia="Cambria" w:cs="Cambria"/>
                <w:i w:val="1"/>
                <w:iCs w:val="1"/>
                <w:color w:val="000000" w:themeColor="text1" w:themeTint="FF" w:themeShade="FF"/>
                <w:sz w:val="20"/>
                <w:szCs w:val="20"/>
                <w:lang w:val="ro"/>
              </w:rPr>
              <w:t xml:space="preserve">vieţii, </w:t>
            </w:r>
            <w:r w:rsidRPr="4B96F792" w:rsidR="4B96F792">
              <w:rPr>
                <w:rFonts w:ascii="Cambria" w:hAnsi="Cambria" w:eastAsia="Cambria" w:cs="Cambria"/>
                <w:color w:val="000000" w:themeColor="text1" w:themeTint="FF" w:themeShade="FF"/>
                <w:sz w:val="20"/>
                <w:szCs w:val="20"/>
                <w:lang w:val="ro"/>
              </w:rPr>
              <w:t>27(3): 189-215.</w:t>
            </w:r>
          </w:p>
          <w:p w:rsidR="4B96F792" w:rsidP="4B96F792" w:rsidRDefault="4B96F792" w14:paraId="51793FEA" w14:textId="2124569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Sau:</w:t>
            </w:r>
          </w:p>
          <w:p w:rsidR="4B96F792" w:rsidP="4B96F792" w:rsidRDefault="4B96F792" w14:paraId="059D0ECC" w14:textId="5F77BF90">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Jessica McCrory Calarco (2014). Coached for the Classroom: Parents’ Cultural Transmission and Children’s Reproduction of Educational Inequalities. </w:t>
            </w:r>
            <w:r w:rsidRPr="4B96F792" w:rsidR="4B96F792">
              <w:rPr>
                <w:rFonts w:ascii="Cambria" w:hAnsi="Cambria" w:eastAsia="Cambria" w:cs="Cambria"/>
                <w:i w:val="1"/>
                <w:iCs w:val="1"/>
                <w:color w:val="000000" w:themeColor="text1" w:themeTint="FF" w:themeShade="FF"/>
                <w:sz w:val="20"/>
                <w:szCs w:val="20"/>
                <w:lang w:val="ro"/>
              </w:rPr>
              <w:t>American Sociological Review</w:t>
            </w:r>
            <w:r w:rsidRPr="4B96F792" w:rsidR="4B96F792">
              <w:rPr>
                <w:rFonts w:ascii="Cambria" w:hAnsi="Cambria" w:eastAsia="Cambria" w:cs="Cambria"/>
                <w:color w:val="000000" w:themeColor="text1" w:themeTint="FF" w:themeShade="FF"/>
                <w:sz w:val="20"/>
                <w:szCs w:val="20"/>
                <w:lang w:val="ro"/>
              </w:rPr>
              <w:t>, 79(5): 1015–1037.</w:t>
            </w:r>
          </w:p>
          <w:p w:rsidR="4B96F792" w:rsidP="4B96F792" w:rsidRDefault="4B96F792" w14:paraId="094C7F96" w14:textId="578B173A">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Lecturi opționale:</w:t>
            </w:r>
          </w:p>
          <w:p w:rsidR="4B96F792" w:rsidP="4B96F792" w:rsidRDefault="4B96F792" w14:paraId="25A871B4" w14:textId="75702010">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Val Gillies (2005). Raising the ‘Meritocracy’: Parenting and the individualization of social class. </w:t>
            </w:r>
            <w:r w:rsidRPr="4B96F792" w:rsidR="4B96F792">
              <w:rPr>
                <w:rFonts w:ascii="Cambria" w:hAnsi="Cambria" w:eastAsia="Cambria" w:cs="Cambria"/>
                <w:i w:val="1"/>
                <w:iCs w:val="1"/>
                <w:color w:val="000000" w:themeColor="text1" w:themeTint="FF" w:themeShade="FF"/>
                <w:sz w:val="20"/>
                <w:szCs w:val="20"/>
                <w:lang w:val="ro"/>
              </w:rPr>
              <w:t>Sociology,</w:t>
            </w:r>
            <w:r w:rsidRPr="4B96F792" w:rsidR="4B96F792">
              <w:rPr>
                <w:rFonts w:ascii="Cambria" w:hAnsi="Cambria" w:eastAsia="Cambria" w:cs="Cambria"/>
                <w:color w:val="000000" w:themeColor="text1" w:themeTint="FF" w:themeShade="FF"/>
                <w:sz w:val="20"/>
                <w:szCs w:val="20"/>
                <w:lang w:val="ro"/>
              </w:rPr>
              <w:t xml:space="preserve"> 39(5): 835–853.</w:t>
            </w:r>
          </w:p>
          <w:p w:rsidR="4B96F792" w:rsidP="4B96F792" w:rsidRDefault="4B96F792" w14:paraId="44567E71" w14:textId="6D4E2116">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Florian, Bogdan și Țoc, Sebastian (2020). </w:t>
            </w:r>
            <w:r w:rsidRPr="4B96F792" w:rsidR="4B96F792">
              <w:rPr>
                <w:rFonts w:ascii="Cambria" w:hAnsi="Cambria" w:eastAsia="Cambria" w:cs="Cambria"/>
                <w:i w:val="1"/>
                <w:iCs w:val="1"/>
                <w:color w:val="000000" w:themeColor="text1" w:themeTint="FF" w:themeShade="FF"/>
                <w:sz w:val="20"/>
                <w:szCs w:val="20"/>
                <w:lang w:val="ro"/>
              </w:rPr>
              <w:t xml:space="preserve">Policy note: Educația în timpul pandemiei. Răspunsuri la criza nesfârșită a sistemului educațional românesc. </w:t>
            </w:r>
            <w:r w:rsidRPr="4B96F792" w:rsidR="4B96F792">
              <w:rPr>
                <w:rFonts w:ascii="Cambria" w:hAnsi="Cambria" w:eastAsia="Cambria" w:cs="Cambria"/>
                <w:color w:val="000000" w:themeColor="text1" w:themeTint="FF" w:themeShade="FF"/>
                <w:sz w:val="20"/>
                <w:szCs w:val="20"/>
                <w:lang w:val="ro"/>
              </w:rPr>
              <w:t xml:space="preserve">București: SNSPA. </w:t>
            </w:r>
            <w:r>
              <w:br/>
            </w:r>
            <w:r w:rsidRPr="4B96F792" w:rsidR="4B96F792">
              <w:rPr>
                <w:rFonts w:ascii="Cambria" w:hAnsi="Cambria" w:eastAsia="Cambria" w:cs="Cambria"/>
                <w:color w:val="000000" w:themeColor="text1" w:themeTint="FF" w:themeShade="FF"/>
                <w:sz w:val="20"/>
                <w:szCs w:val="20"/>
                <w:lang w:val="ro"/>
              </w:rPr>
              <w:t xml:space="preserve">Bădescu, Gabriel (ed.) (2019). </w:t>
            </w:r>
            <w:r w:rsidRPr="4B96F792" w:rsidR="4B96F792">
              <w:rPr>
                <w:rFonts w:ascii="Cambria" w:hAnsi="Cambria" w:eastAsia="Cambria" w:cs="Cambria"/>
                <w:i w:val="1"/>
                <w:iCs w:val="1"/>
                <w:color w:val="000000" w:themeColor="text1" w:themeTint="FF" w:themeShade="FF"/>
                <w:sz w:val="20"/>
                <w:szCs w:val="20"/>
                <w:lang w:val="ro"/>
              </w:rPr>
              <w:t xml:space="preserve">Școala în România din perspectiva datelor PISA. </w:t>
            </w:r>
            <w:r w:rsidRPr="4B96F792" w:rsidR="4B96F792">
              <w:rPr>
                <w:rFonts w:ascii="Cambria" w:hAnsi="Cambria" w:eastAsia="Cambria" w:cs="Cambria"/>
                <w:color w:val="000000" w:themeColor="text1" w:themeTint="FF" w:themeShade="FF"/>
                <w:sz w:val="20"/>
                <w:szCs w:val="20"/>
                <w:lang w:val="ro"/>
              </w:rPr>
              <w:t>Cluj-Napoca: Presa Universitară Clujeană.</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25851E93" w14:textId="67ACB01A">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3F54FD10" w14:textId="34FAD45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3CA9A8BE">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7D8119CF" w14:textId="6695F0CF">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Seminar 7. Habitus și poziționare ocupațională </w:t>
            </w:r>
          </w:p>
          <w:p w:rsidR="4B96F792" w:rsidP="4B96F792" w:rsidRDefault="4B96F792" w14:paraId="0C622B51" w14:textId="332041C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Ingram, N and Allen, K. (2019) ‘Talent-spotting’ or ‘social magic’? Inequality, cultural sorting and constructions of the ideal graduate in elite professions. </w:t>
            </w:r>
            <w:r w:rsidRPr="4B96F792" w:rsidR="4B96F792">
              <w:rPr>
                <w:rFonts w:ascii="Cambria" w:hAnsi="Cambria" w:eastAsia="Cambria" w:cs="Cambria"/>
                <w:i w:val="1"/>
                <w:iCs w:val="1"/>
                <w:color w:val="000000" w:themeColor="text1" w:themeTint="FF" w:themeShade="FF"/>
                <w:sz w:val="20"/>
                <w:szCs w:val="20"/>
                <w:lang w:val="ro"/>
              </w:rPr>
              <w:t>Sociological Review,</w:t>
            </w:r>
            <w:r w:rsidRPr="4B96F792" w:rsidR="4B96F792">
              <w:rPr>
                <w:rFonts w:ascii="Cambria" w:hAnsi="Cambria" w:eastAsia="Cambria" w:cs="Cambria"/>
                <w:color w:val="000000" w:themeColor="text1" w:themeTint="FF" w:themeShade="FF"/>
                <w:sz w:val="20"/>
                <w:szCs w:val="20"/>
                <w:lang w:val="ro"/>
              </w:rPr>
              <w:t xml:space="preserve"> 67 (3). pp. 723-740. </w:t>
            </w:r>
          </w:p>
          <w:p w:rsidR="4B96F792" w:rsidP="4B96F792" w:rsidRDefault="4B96F792" w14:paraId="65605A37" w14:textId="59B08817">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Lecturi opționale:</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i w:val="1"/>
                <w:iCs w:val="1"/>
                <w:color w:val="000000" w:themeColor="text1" w:themeTint="FF" w:themeShade="FF"/>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Holford, Angus (2017). Access to and Returns from Unpaid Graduate Internships. </w:t>
            </w:r>
            <w:r w:rsidRPr="4B96F792" w:rsidR="4B96F792">
              <w:rPr>
                <w:rFonts w:ascii="Cambria" w:hAnsi="Cambria" w:eastAsia="Cambria" w:cs="Cambria"/>
                <w:i w:val="1"/>
                <w:iCs w:val="1"/>
                <w:color w:val="000000" w:themeColor="text1" w:themeTint="FF" w:themeShade="FF"/>
                <w:sz w:val="20"/>
                <w:szCs w:val="20"/>
                <w:lang w:val="ro"/>
              </w:rPr>
              <w:t xml:space="preserve">ISER Working Papers, </w:t>
            </w:r>
            <w:r w:rsidRPr="4B96F792" w:rsidR="4B96F792">
              <w:rPr>
                <w:rFonts w:ascii="Cambria" w:hAnsi="Cambria" w:eastAsia="Cambria" w:cs="Cambria"/>
                <w:color w:val="000000" w:themeColor="text1" w:themeTint="FF" w:themeShade="FF"/>
                <w:sz w:val="20"/>
                <w:szCs w:val="20"/>
                <w:lang w:val="ro"/>
              </w:rPr>
              <w:t>June 2017, pp. 1-37.</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6F593353" w14:textId="50CCE067">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1A2CF18D" w14:textId="56ADEDA8">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49C0235D">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77E01783" w14:textId="50C14589">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8.</w:t>
            </w:r>
            <w:r w:rsidRPr="4B96F792" w:rsidR="4B96F792">
              <w:rPr>
                <w:rFonts w:ascii="Cambria" w:hAnsi="Cambria" w:eastAsia="Cambria" w:cs="Cambria"/>
                <w:color w:val="000000" w:themeColor="text1" w:themeTint="FF" w:themeShade="FF"/>
                <w:sz w:val="20"/>
                <w:szCs w:val="20"/>
                <w:lang w:val="ro"/>
              </w:rPr>
              <w:t xml:space="preserve"> </w:t>
            </w:r>
            <w:r w:rsidRPr="4B96F792" w:rsidR="4B96F792">
              <w:rPr>
                <w:rFonts w:ascii="Cambria" w:hAnsi="Cambria" w:eastAsia="Cambria" w:cs="Cambria"/>
                <w:b w:val="1"/>
                <w:bCs w:val="1"/>
                <w:color w:val="000000" w:themeColor="text1" w:themeTint="FF" w:themeShade="FF"/>
                <w:sz w:val="20"/>
                <w:szCs w:val="20"/>
                <w:lang w:val="ro"/>
              </w:rPr>
              <w:t>Clasă și digitalizarea muncii</w:t>
            </w:r>
          </w:p>
          <w:p w:rsidR="4B96F792" w:rsidP="4B96F792" w:rsidRDefault="4B96F792" w14:paraId="1E703B84" w14:textId="05AA1028">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Lectură:</w:t>
            </w:r>
          </w:p>
          <w:p w:rsidR="4B96F792" w:rsidP="4B96F792" w:rsidRDefault="4B96F792" w14:paraId="4EE69B72" w14:textId="641FB06B">
            <w:pPr>
              <w:tabs>
                <w:tab w:val="left" w:leader="none" w:pos="0"/>
                <w:tab w:val="left" w:leader="none" w:pos="0"/>
                <w:tab w:val="left" w:leader="none" w:pos="284"/>
              </w:tabs>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Martindale, Nicholas and Lehdonvirta, Villi (2023). Labour market digitalization and social class: evidence of mobility and reproduction from a European survey of online platform workers. Socio-Economic Review, 2023, Vol. 21, No. 4, pp. 1945–1965.</w:t>
            </w:r>
          </w:p>
          <w:p w:rsidR="4B96F792" w:rsidP="4B96F792" w:rsidRDefault="4B96F792" w14:paraId="5EA07E29" w14:textId="17D7A0DD">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7DFEB680" w14:textId="48379FA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5AAEFCFA" w14:textId="3638026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3A8B33A0">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3FFFD5AF" w14:textId="41859D35">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Seminar 9. Transformarea relațiilor de muncă și munca precară </w:t>
            </w:r>
          </w:p>
          <w:p w:rsidR="4B96F792" w:rsidP="4B96F792" w:rsidRDefault="4B96F792" w14:paraId="16294B5B" w14:textId="1965BDA0">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Lecturi:</w:t>
            </w:r>
          </w:p>
          <w:p w:rsidR="4B96F792" w:rsidP="4B96F792" w:rsidRDefault="4B96F792" w14:paraId="0F7A3C64" w14:textId="173CE706">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Butler, Tim and Watt, T. (2007): Understanding social inequality. Chapter 7: New Work and New Workers. London: Sage.</w:t>
            </w:r>
          </w:p>
          <w:p w:rsidR="4B96F792" w:rsidP="4B96F792" w:rsidRDefault="4B96F792" w14:paraId="5392EDCF" w14:textId="1DFEB5C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Guga, Ştefan (2016). </w:t>
            </w:r>
            <w:r w:rsidRPr="4B96F792" w:rsidR="4B96F792">
              <w:rPr>
                <w:rFonts w:ascii="Cambria" w:hAnsi="Cambria" w:eastAsia="Cambria" w:cs="Cambria"/>
                <w:i w:val="1"/>
                <w:iCs w:val="1"/>
                <w:color w:val="000000" w:themeColor="text1" w:themeTint="FF" w:themeShade="FF"/>
                <w:sz w:val="20"/>
                <w:szCs w:val="20"/>
                <w:lang w:val="ro"/>
              </w:rPr>
              <w:t xml:space="preserve">Munca atipică în România de la izbucnirea crizei. O perspectivă de ansamblu. </w:t>
            </w:r>
            <w:r w:rsidRPr="4B96F792" w:rsidR="4B96F792">
              <w:rPr>
                <w:rFonts w:ascii="Cambria" w:hAnsi="Cambria" w:eastAsia="Cambria" w:cs="Cambria"/>
                <w:color w:val="000000" w:themeColor="text1" w:themeTint="FF" w:themeShade="FF"/>
                <w:sz w:val="20"/>
                <w:szCs w:val="20"/>
                <w:lang w:val="ro"/>
              </w:rPr>
              <w:t>Bucureşti: Next Publishing.</w:t>
            </w:r>
          </w:p>
          <w:p w:rsidR="4B96F792" w:rsidP="4B96F792" w:rsidRDefault="4B96F792" w14:paraId="1D07ABD9" w14:textId="13C2FFA8">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 xml:space="preserve">Lecturi opționale: </w:t>
            </w:r>
            <w:r>
              <w:br/>
            </w:r>
            <w:r w:rsidRPr="4B96F792" w:rsidR="4B96F792">
              <w:rPr>
                <w:rFonts w:ascii="Cambria" w:hAnsi="Cambria" w:eastAsia="Cambria" w:cs="Cambria"/>
                <w:color w:val="000000" w:themeColor="text1" w:themeTint="FF" w:themeShade="FF"/>
                <w:sz w:val="20"/>
                <w:szCs w:val="20"/>
                <w:lang w:val="ro"/>
              </w:rPr>
              <w:t xml:space="preserve">Standing, Guy (2015). The Precariat and Class Struggle, </w:t>
            </w:r>
            <w:r w:rsidRPr="4B96F792" w:rsidR="4B96F792">
              <w:rPr>
                <w:rFonts w:ascii="Cambria" w:hAnsi="Cambria" w:eastAsia="Cambria" w:cs="Cambria"/>
                <w:i w:val="1"/>
                <w:iCs w:val="1"/>
                <w:color w:val="000000" w:themeColor="text1" w:themeTint="FF" w:themeShade="FF"/>
                <w:sz w:val="20"/>
                <w:szCs w:val="20"/>
                <w:lang w:val="ro"/>
              </w:rPr>
              <w:t xml:space="preserve">RCCS Annual Review </w:t>
            </w:r>
            <w:r w:rsidRPr="4B96F792" w:rsidR="4B96F792">
              <w:rPr>
                <w:rFonts w:ascii="Cambria" w:hAnsi="Cambria" w:eastAsia="Cambria" w:cs="Cambria"/>
                <w:color w:val="000000" w:themeColor="text1" w:themeTint="FF" w:themeShade="FF"/>
                <w:sz w:val="20"/>
                <w:szCs w:val="20"/>
                <w:lang w:val="ro"/>
              </w:rPr>
              <w:t xml:space="preserve">[Online], 7 | 2015, </w:t>
            </w:r>
            <w:hyperlink r:id="R64b7b11e4ed548ba">
              <w:r w:rsidRPr="4B96F792" w:rsidR="4B96F792">
                <w:rPr>
                  <w:rStyle w:val="Hyperlink"/>
                  <w:rFonts w:ascii="Cambria" w:hAnsi="Cambria" w:eastAsia="Cambria" w:cs="Cambria"/>
                  <w:strike w:val="0"/>
                  <w:dstrike w:val="0"/>
                  <w:color w:val="467886"/>
                  <w:sz w:val="20"/>
                  <w:szCs w:val="20"/>
                  <w:u w:val="single"/>
                  <w:lang w:val="ro"/>
                </w:rPr>
                <w:t>http://journals.openedition.org/rccsar/585</w:t>
              </w:r>
            </w:hyperlink>
            <w:r w:rsidRPr="4B96F792" w:rsidR="4B96F792">
              <w:rPr>
                <w:rFonts w:ascii="Cambria" w:hAnsi="Cambria" w:eastAsia="Cambria" w:cs="Cambria"/>
                <w:color w:val="000000" w:themeColor="text1" w:themeTint="FF" w:themeShade="FF"/>
                <w:sz w:val="20"/>
                <w:szCs w:val="20"/>
                <w:lang w:val="ro"/>
              </w:rPr>
              <w:t xml:space="preserve">. </w:t>
            </w:r>
            <w:r>
              <w:br/>
            </w:r>
            <w:r w:rsidRPr="4B96F792" w:rsidR="4B96F792">
              <w:rPr>
                <w:rFonts w:ascii="Cambria" w:hAnsi="Cambria" w:eastAsia="Cambria" w:cs="Cambria"/>
                <w:color w:val="000000" w:themeColor="text1" w:themeTint="FF" w:themeShade="FF"/>
                <w:sz w:val="20"/>
                <w:szCs w:val="20"/>
                <w:lang w:val="ro"/>
              </w:rPr>
              <w:t xml:space="preserve">Standing, Guy (2012). Precariatul şi de ce ar avea aceasta nevoie de o democraţie deliberativă. </w:t>
            </w:r>
            <w:r w:rsidRPr="4B96F792" w:rsidR="4B96F792">
              <w:rPr>
                <w:rFonts w:ascii="Cambria" w:hAnsi="Cambria" w:eastAsia="Cambria" w:cs="Cambria"/>
                <w:i w:val="1"/>
                <w:iCs w:val="1"/>
                <w:color w:val="000000" w:themeColor="text1" w:themeTint="FF" w:themeShade="FF"/>
                <w:sz w:val="20"/>
                <w:szCs w:val="20"/>
                <w:lang w:val="ro"/>
              </w:rPr>
              <w:t xml:space="preserve">Critic Atac, </w:t>
            </w:r>
            <w:r w:rsidRPr="4B96F792" w:rsidR="4B96F792">
              <w:rPr>
                <w:rFonts w:ascii="Cambria" w:hAnsi="Cambria" w:eastAsia="Cambria" w:cs="Cambria"/>
                <w:color w:val="000000" w:themeColor="text1" w:themeTint="FF" w:themeShade="FF"/>
                <w:sz w:val="20"/>
                <w:szCs w:val="20"/>
                <w:lang w:val="ro"/>
              </w:rPr>
              <w:t>13.09.2012.</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Interviu cu Guy Standing - King's College London, 2018. </w:t>
            </w:r>
          </w:p>
          <w:p w:rsidR="4B96F792" w:rsidP="4B96F792" w:rsidRDefault="4B96F792" w14:paraId="4D3377E3" w14:textId="2DBE119C">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Confronting root causes: forced labour in global supply chains.</w:t>
            </w:r>
            <w:r w:rsidRPr="4B96F792" w:rsidR="4B96F792">
              <w:rPr>
                <w:rFonts w:ascii="Cambria" w:hAnsi="Cambria" w:eastAsia="Cambria" w:cs="Cambria"/>
                <w:color w:val="000000" w:themeColor="text1" w:themeTint="FF" w:themeShade="FF"/>
                <w:sz w:val="20"/>
                <w:szCs w:val="20"/>
                <w:lang w:val="ro"/>
              </w:rPr>
              <w:t xml:space="preserve"> Report published at the University of Sheffield.</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Ediția specială a revistei Asociației Internaționale de Sociologie (ISA), </w:t>
            </w:r>
            <w:r w:rsidRPr="4B96F792" w:rsidR="4B96F792">
              <w:rPr>
                <w:rFonts w:ascii="Cambria" w:hAnsi="Cambria" w:eastAsia="Cambria" w:cs="Cambria"/>
                <w:i w:val="1"/>
                <w:iCs w:val="1"/>
                <w:color w:val="000000" w:themeColor="text1" w:themeTint="FF" w:themeShade="FF"/>
                <w:sz w:val="20"/>
                <w:szCs w:val="20"/>
                <w:lang w:val="ro"/>
              </w:rPr>
              <w:t>Global Social Dialogue</w:t>
            </w:r>
            <w:r w:rsidRPr="4B96F792" w:rsidR="4B96F792">
              <w:rPr>
                <w:rFonts w:ascii="Cambria" w:hAnsi="Cambria" w:eastAsia="Cambria" w:cs="Cambria"/>
                <w:color w:val="000000" w:themeColor="text1" w:themeTint="FF" w:themeShade="FF"/>
                <w:sz w:val="20"/>
                <w:szCs w:val="20"/>
                <w:lang w:val="ro"/>
              </w:rPr>
              <w:t>, 2018, No. 8.3 (în lb. română).</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6D7699DA" w14:textId="4C3B072B">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7B50E81F" w14:textId="23875EF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55AB2F4E">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0BDCD823" w14:textId="4A99CE28">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Seminar 10. Marginalizare și segregare socială. Efectele inegale ale crizei climatice </w:t>
            </w:r>
          </w:p>
          <w:p w:rsidR="4B96F792" w:rsidP="4B96F792" w:rsidRDefault="4B96F792" w14:paraId="02A8A0E9" w14:textId="20CB2F38">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Waquant, Loic (2000). Logics of urban polarization. A view from below. In R. Crompton et al. (eds.). </w:t>
            </w:r>
            <w:r w:rsidRPr="4B96F792" w:rsidR="4B96F792">
              <w:rPr>
                <w:rFonts w:ascii="Cambria" w:hAnsi="Cambria" w:eastAsia="Cambria" w:cs="Cambria"/>
                <w:i w:val="1"/>
                <w:iCs w:val="1"/>
                <w:color w:val="000000" w:themeColor="text1" w:themeTint="FF" w:themeShade="FF"/>
                <w:sz w:val="20"/>
                <w:szCs w:val="20"/>
                <w:lang w:val="ro"/>
              </w:rPr>
              <w:t xml:space="preserve">Renewing class analysis, </w:t>
            </w:r>
            <w:r w:rsidRPr="4B96F792" w:rsidR="4B96F792">
              <w:rPr>
                <w:rFonts w:ascii="Cambria" w:hAnsi="Cambria" w:eastAsia="Cambria" w:cs="Cambria"/>
                <w:color w:val="000000" w:themeColor="text1" w:themeTint="FF" w:themeShade="FF"/>
                <w:sz w:val="20"/>
                <w:szCs w:val="20"/>
                <w:lang w:val="ro"/>
              </w:rPr>
              <w:t>Oxford: Blackwell, pp. 106-112.</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Vincze, Enik</w:t>
            </w:r>
            <w:r w:rsidRPr="4B96F792" w:rsidR="4B96F792">
              <w:rPr>
                <w:rFonts w:ascii="Cambria" w:hAnsi="Cambria" w:eastAsia="Cambria" w:cs="Cambria"/>
                <w:color w:val="000000" w:themeColor="text1" w:themeTint="FF" w:themeShade="FF"/>
                <w:sz w:val="20"/>
                <w:szCs w:val="20"/>
                <w:lang w:val="hu"/>
              </w:rPr>
              <w:t>ő</w:t>
            </w:r>
            <w:r w:rsidRPr="4B96F792" w:rsidR="4B96F792">
              <w:rPr>
                <w:rFonts w:ascii="Cambria" w:hAnsi="Cambria" w:eastAsia="Cambria" w:cs="Cambria"/>
                <w:color w:val="000000" w:themeColor="text1" w:themeTint="FF" w:themeShade="FF"/>
                <w:sz w:val="20"/>
                <w:szCs w:val="20"/>
                <w:lang w:val="ro"/>
              </w:rPr>
              <w:t xml:space="preserve"> (2012). Rampa de gunoi: spațiul marginalizării urbane avansate rasializate în România de azi. </w:t>
            </w:r>
            <w:r w:rsidRPr="4B96F792" w:rsidR="4B96F792">
              <w:rPr>
                <w:rFonts w:ascii="Cambria" w:hAnsi="Cambria" w:eastAsia="Cambria" w:cs="Cambria"/>
                <w:i w:val="1"/>
                <w:iCs w:val="1"/>
                <w:color w:val="000000" w:themeColor="text1" w:themeTint="FF" w:themeShade="FF"/>
                <w:sz w:val="20"/>
                <w:szCs w:val="20"/>
                <w:lang w:val="ro"/>
              </w:rPr>
              <w:t xml:space="preserve">Critic Atac, </w:t>
            </w:r>
            <w:r w:rsidRPr="4B96F792" w:rsidR="4B96F792">
              <w:rPr>
                <w:rFonts w:ascii="Cambria" w:hAnsi="Cambria" w:eastAsia="Cambria" w:cs="Cambria"/>
                <w:color w:val="000000" w:themeColor="text1" w:themeTint="FF" w:themeShade="FF"/>
                <w:sz w:val="20"/>
                <w:szCs w:val="20"/>
                <w:lang w:val="ro"/>
              </w:rPr>
              <w:t>11.09.2012.</w:t>
            </w:r>
          </w:p>
          <w:p w:rsidR="4B96F792" w:rsidP="4B96F792" w:rsidRDefault="4B96F792" w14:paraId="7DDC9B8A" w14:textId="738AC0F1">
            <w:pPr>
              <w:spacing w:before="0" w:beforeAutospacing="off" w:after="0" w:afterAutospacing="off" w:line="276" w:lineRule="auto"/>
            </w:pPr>
            <w:r w:rsidRPr="4B96F792" w:rsidR="4B96F792">
              <w:rPr>
                <w:rFonts w:ascii="Cambria" w:hAnsi="Cambria" w:eastAsia="Cambria" w:cs="Cambria"/>
                <w:i w:val="1"/>
                <w:iCs w:val="1"/>
                <w:color w:val="000000" w:themeColor="text1" w:themeTint="FF" w:themeShade="FF"/>
                <w:sz w:val="20"/>
                <w:szCs w:val="20"/>
                <w:lang w:val="ro"/>
              </w:rPr>
              <w:t>Lecturi opționale:</w:t>
            </w:r>
          </w:p>
          <w:p w:rsidR="4B96F792" w:rsidP="4B96F792" w:rsidRDefault="4B96F792" w14:paraId="2800DFD4" w14:textId="4C2216A3">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Vincze, Enikő (2019). Ghettoization. The production of marginal spaces of housing and the reproduction of racialized labour. In E.Vincze et al. (eds.) </w:t>
            </w:r>
            <w:r w:rsidRPr="4B96F792" w:rsidR="4B96F792">
              <w:rPr>
                <w:rFonts w:ascii="Cambria" w:hAnsi="Cambria" w:eastAsia="Cambria" w:cs="Cambria"/>
                <w:i w:val="1"/>
                <w:iCs w:val="1"/>
                <w:color w:val="000000" w:themeColor="text1" w:themeTint="FF" w:themeShade="FF"/>
                <w:sz w:val="20"/>
                <w:szCs w:val="20"/>
                <w:lang w:val="ro"/>
              </w:rPr>
              <w:t>Racialized labour in Romania,</w:t>
            </w:r>
            <w:r w:rsidRPr="4B96F792" w:rsidR="4B96F792">
              <w:rPr>
                <w:rFonts w:ascii="Cambria" w:hAnsi="Cambria" w:eastAsia="Cambria" w:cs="Cambria"/>
                <w:color w:val="000000" w:themeColor="text1" w:themeTint="FF" w:themeShade="FF"/>
                <w:sz w:val="20"/>
                <w:szCs w:val="20"/>
                <w:lang w:val="ro"/>
              </w:rPr>
              <w:t xml:space="preserve"> Palgrave MacMillan, pp. 63-96.</w:t>
            </w:r>
          </w:p>
          <w:p w:rsidR="4B96F792" w:rsidP="4B96F792" w:rsidRDefault="4B96F792" w14:paraId="66028F84" w14:textId="0144C60C">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Markkanen, Sanna and Annela Anger-Kraavi (2019) Social impacts of climate change mitigation policies and their implications for inequality, Climate Policy, 19:7, 827-844.</w:t>
            </w:r>
          </w:p>
          <w:p w:rsidR="4B96F792" w:rsidP="4B96F792" w:rsidRDefault="4B96F792" w14:paraId="58CFA376" w14:textId="585AC13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Harvey, David (2003): </w:t>
            </w:r>
            <w:r w:rsidRPr="4B96F792" w:rsidR="4B96F792">
              <w:rPr>
                <w:rFonts w:ascii="Cambria" w:hAnsi="Cambria" w:eastAsia="Cambria" w:cs="Cambria"/>
                <w:i w:val="1"/>
                <w:iCs w:val="1"/>
                <w:color w:val="000000" w:themeColor="text1" w:themeTint="FF" w:themeShade="FF"/>
                <w:sz w:val="20"/>
                <w:szCs w:val="20"/>
                <w:lang w:val="ro"/>
              </w:rPr>
              <w:t>The New Imperialism</w:t>
            </w:r>
            <w:r w:rsidRPr="4B96F792" w:rsidR="4B96F792">
              <w:rPr>
                <w:rFonts w:ascii="Cambria" w:hAnsi="Cambria" w:eastAsia="Cambria" w:cs="Cambria"/>
                <w:color w:val="000000" w:themeColor="text1" w:themeTint="FF" w:themeShade="FF"/>
                <w:sz w:val="20"/>
                <w:szCs w:val="20"/>
                <w:lang w:val="ro"/>
              </w:rPr>
              <w:t xml:space="preserve">. Oxford: Oxford University Press, Chapter: “Accumulation by Dispossession”, pp. 137-182 (tradus în lb.română ca </w:t>
            </w:r>
            <w:r w:rsidRPr="4B96F792" w:rsidR="4B96F792">
              <w:rPr>
                <w:rFonts w:ascii="Cambria" w:hAnsi="Cambria" w:eastAsia="Cambria" w:cs="Cambria"/>
                <w:i w:val="1"/>
                <w:iCs w:val="1"/>
                <w:color w:val="000000" w:themeColor="text1" w:themeTint="FF" w:themeShade="FF"/>
                <w:sz w:val="20"/>
                <w:szCs w:val="20"/>
                <w:lang w:val="ro"/>
              </w:rPr>
              <w:t xml:space="preserve">Noul imperialism </w:t>
            </w:r>
            <w:r w:rsidRPr="4B96F792" w:rsidR="4B96F792">
              <w:rPr>
                <w:rFonts w:ascii="Cambria" w:hAnsi="Cambria" w:eastAsia="Cambria" w:cs="Cambria"/>
                <w:color w:val="000000" w:themeColor="text1" w:themeTint="FF" w:themeShade="FF"/>
                <w:sz w:val="20"/>
                <w:szCs w:val="20"/>
                <w:lang w:val="ro"/>
              </w:rPr>
              <w:t>și publicat în 2003 la editura ALL. Volumul în limba română este disponibil la BCU).</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Sharryn Kashir and August Carbonella (2008): Dispossession and the New Anthropology of Labour. </w:t>
            </w:r>
            <w:r w:rsidRPr="4B96F792" w:rsidR="4B96F792">
              <w:rPr>
                <w:rFonts w:ascii="Cambria" w:hAnsi="Cambria" w:eastAsia="Cambria" w:cs="Cambria"/>
                <w:i w:val="1"/>
                <w:iCs w:val="1"/>
                <w:color w:val="000000" w:themeColor="text1" w:themeTint="FF" w:themeShade="FF"/>
                <w:sz w:val="20"/>
                <w:szCs w:val="20"/>
                <w:lang w:val="ro"/>
              </w:rPr>
              <w:t>Critique of Anthropology</w:t>
            </w:r>
            <w:r w:rsidRPr="4B96F792" w:rsidR="4B96F792">
              <w:rPr>
                <w:rFonts w:ascii="Cambria" w:hAnsi="Cambria" w:eastAsia="Cambria" w:cs="Cambria"/>
                <w:color w:val="000000" w:themeColor="text1" w:themeTint="FF" w:themeShade="FF"/>
                <w:sz w:val="20"/>
                <w:szCs w:val="20"/>
                <w:lang w:val="ro"/>
              </w:rPr>
              <w:t>, 28(1):5-25.</w:t>
            </w:r>
            <w:r>
              <w:br/>
            </w:r>
            <w:r w:rsidRPr="4B96F792" w:rsidR="4B96F792">
              <w:rPr>
                <w:rFonts w:ascii="Cambria" w:hAnsi="Cambria" w:eastAsia="Cambria" w:cs="Cambria"/>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 Islam, Nazrul and Winkel, John (2017). Climage change and social inequality, </w:t>
            </w:r>
            <w:r w:rsidRPr="4B96F792" w:rsidR="4B96F792">
              <w:rPr>
                <w:rFonts w:ascii="Cambria" w:hAnsi="Cambria" w:eastAsia="Cambria" w:cs="Cambria"/>
                <w:i w:val="1"/>
                <w:iCs w:val="1"/>
                <w:color w:val="000000" w:themeColor="text1" w:themeTint="FF" w:themeShade="FF"/>
                <w:sz w:val="20"/>
                <w:szCs w:val="20"/>
                <w:lang w:val="ro"/>
              </w:rPr>
              <w:t xml:space="preserve">DESA Working Paper, </w:t>
            </w:r>
            <w:r w:rsidRPr="4B96F792" w:rsidR="4B96F792">
              <w:rPr>
                <w:rFonts w:ascii="Cambria" w:hAnsi="Cambria" w:eastAsia="Cambria" w:cs="Cambria"/>
                <w:color w:val="000000" w:themeColor="text1" w:themeTint="FF" w:themeShade="FF"/>
                <w:sz w:val="20"/>
                <w:szCs w:val="20"/>
                <w:lang w:val="ro"/>
              </w:rPr>
              <w:t>No.152, pp.1-31.</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29CBE5AB" w14:textId="3B27F26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59700216" w14:textId="18DF35D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203F7F9E">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3DAB8008" w14:textId="738BF8BE">
            <w:pPr>
              <w:tabs>
                <w:tab w:val="left" w:leader="none" w:pos="0"/>
                <w:tab w:val="left" w:leader="none" w:pos="0"/>
                <w:tab w:val="left" w:leader="none" w:pos="284"/>
              </w:tabs>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11.</w:t>
            </w:r>
            <w:r w:rsidRPr="4B96F792" w:rsidR="4B96F792">
              <w:rPr>
                <w:rFonts w:ascii="Cambria" w:hAnsi="Cambria" w:eastAsia="Cambria" w:cs="Cambria"/>
                <w:color w:val="000000" w:themeColor="text1" w:themeTint="FF" w:themeShade="FF"/>
                <w:sz w:val="20"/>
                <w:szCs w:val="20"/>
                <w:lang w:val="ro"/>
              </w:rPr>
              <w:t xml:space="preserve"> </w:t>
            </w:r>
            <w:r w:rsidRPr="4B96F792" w:rsidR="4B96F792">
              <w:rPr>
                <w:rFonts w:ascii="Cambria" w:hAnsi="Cambria" w:eastAsia="Cambria" w:cs="Cambria"/>
                <w:b w:val="1"/>
                <w:bCs w:val="1"/>
                <w:color w:val="000000" w:themeColor="text1" w:themeTint="FF" w:themeShade="FF"/>
                <w:sz w:val="20"/>
                <w:szCs w:val="20"/>
                <w:lang w:val="ro"/>
              </w:rPr>
              <w:t>Industrializare și formarea clasei muncitoare în România</w:t>
            </w:r>
          </w:p>
          <w:p w:rsidR="4B96F792" w:rsidP="4B96F792" w:rsidRDefault="4B96F792" w14:paraId="37F131AA" w14:textId="6E0B0306">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Lecturi:</w:t>
            </w:r>
          </w:p>
          <w:p w:rsidR="4B96F792" w:rsidP="4B96F792" w:rsidRDefault="4B96F792" w14:paraId="4CF91668" w14:textId="499486A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Cucu, Alina (2019). </w:t>
            </w:r>
            <w:r w:rsidRPr="4B96F792" w:rsidR="4B96F792">
              <w:rPr>
                <w:rFonts w:ascii="Cambria" w:hAnsi="Cambria" w:eastAsia="Cambria" w:cs="Cambria"/>
                <w:i w:val="1"/>
                <w:iCs w:val="1"/>
                <w:color w:val="000000" w:themeColor="text1" w:themeTint="FF" w:themeShade="FF"/>
                <w:sz w:val="20"/>
                <w:szCs w:val="20"/>
                <w:lang w:val="ro"/>
              </w:rPr>
              <w:t xml:space="preserve">Planning labour. </w:t>
            </w:r>
            <w:r w:rsidRPr="4B96F792" w:rsidR="4B96F792">
              <w:rPr>
                <w:rFonts w:ascii="Cambria" w:hAnsi="Cambria" w:eastAsia="Cambria" w:cs="Cambria"/>
                <w:color w:val="000000" w:themeColor="text1" w:themeTint="FF" w:themeShade="FF"/>
                <w:sz w:val="20"/>
                <w:szCs w:val="20"/>
                <w:lang w:val="ro"/>
              </w:rPr>
              <w:t xml:space="preserve">Oxford: Beghahn Books. Chapter 3, pp. 109-147. </w:t>
            </w:r>
          </w:p>
          <w:p w:rsidR="4B96F792" w:rsidP="4B96F792" w:rsidRDefault="4B96F792" w14:paraId="14DA0B6C" w14:textId="10ACC11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Sau: </w:t>
            </w:r>
          </w:p>
          <w:p w:rsidR="4B96F792" w:rsidP="4B96F792" w:rsidRDefault="4B96F792" w14:paraId="04815DB6" w14:textId="1D515ABA">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Mărginean, Mara (2013). Spațiu public, spațiu privat. Experiențe cotidiene în centrele siderurgice ale regiunii Hunedoara, 1945-1968. În Jinga, L. și Bosomitu, Ș. (eds.).</w:t>
            </w:r>
            <w:r w:rsidRPr="4B96F792" w:rsidR="4B96F792">
              <w:rPr>
                <w:rFonts w:ascii="Cambria" w:hAnsi="Cambria" w:eastAsia="Cambria" w:cs="Cambria"/>
                <w:i w:val="1"/>
                <w:iCs w:val="1"/>
                <w:color w:val="000000" w:themeColor="text1" w:themeTint="FF" w:themeShade="FF"/>
                <w:sz w:val="20"/>
                <w:szCs w:val="20"/>
                <w:lang w:val="ro"/>
              </w:rPr>
              <w:t xml:space="preserve"> Între transformare și adaptare. </w:t>
            </w:r>
            <w:r w:rsidRPr="4B96F792" w:rsidR="4B96F792">
              <w:rPr>
                <w:rFonts w:ascii="Cambria" w:hAnsi="Cambria" w:eastAsia="Cambria" w:cs="Cambria"/>
                <w:color w:val="000000" w:themeColor="text1" w:themeTint="FF" w:themeShade="FF"/>
                <w:sz w:val="20"/>
                <w:szCs w:val="20"/>
                <w:lang w:val="ro"/>
              </w:rPr>
              <w:t>Arhiva IICCMER, București, pp, 45-75.</w:t>
            </w:r>
          </w:p>
          <w:p w:rsidR="4B96F792" w:rsidP="4B96F792" w:rsidRDefault="4B96F792" w14:paraId="796A3D25" w14:textId="2B3B51A7">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Lectură opțională: </w:t>
            </w:r>
          </w:p>
          <w:p w:rsidR="4B96F792" w:rsidP="4B96F792" w:rsidRDefault="4B96F792" w14:paraId="54EDF58C" w14:textId="77BEFA3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Ghiț, Alexandra (2023). Gendered Work, Skill, and Women’s Labor Activism in Romanian</w:t>
            </w:r>
            <w:r w:rsidRPr="4B96F792" w:rsidR="4B96F792">
              <w:rPr>
                <w:rFonts w:ascii="Cambria" w:hAnsi="Cambria" w:eastAsia="Cambria" w:cs="Cambria"/>
                <w:i w:val="1"/>
                <w:iCs w:val="1"/>
                <w:color w:val="000000" w:themeColor="text1" w:themeTint="FF" w:themeShade="FF"/>
                <w:sz w:val="20"/>
                <w:szCs w:val="20"/>
                <w:lang w:val="ro"/>
              </w:rPr>
              <w:t xml:space="preserve"> </w:t>
            </w:r>
            <w:r w:rsidRPr="4B96F792" w:rsidR="4B96F792">
              <w:rPr>
                <w:rFonts w:ascii="Cambria" w:hAnsi="Cambria" w:eastAsia="Cambria" w:cs="Cambria"/>
                <w:color w:val="000000" w:themeColor="text1" w:themeTint="FF" w:themeShade="FF"/>
                <w:sz w:val="20"/>
                <w:szCs w:val="20"/>
                <w:lang w:val="ro"/>
              </w:rPr>
              <w:t xml:space="preserve">Tobacco Factories from the 1920s to the 1960s. </w:t>
            </w:r>
            <w:r w:rsidRPr="4B96F792" w:rsidR="4B96F792">
              <w:rPr>
                <w:rFonts w:ascii="Cambria" w:hAnsi="Cambria" w:eastAsia="Cambria" w:cs="Cambria"/>
                <w:i w:val="1"/>
                <w:iCs w:val="1"/>
                <w:color w:val="000000" w:themeColor="text1" w:themeTint="FF" w:themeShade="FF"/>
                <w:sz w:val="20"/>
                <w:szCs w:val="20"/>
                <w:lang w:val="ro"/>
              </w:rPr>
              <w:t>International Labor and Working-Class History</w:t>
            </w:r>
            <w:r w:rsidRPr="4B96F792" w:rsidR="4B96F792">
              <w:rPr>
                <w:rFonts w:ascii="Cambria" w:hAnsi="Cambria" w:eastAsia="Cambria" w:cs="Cambria"/>
                <w:color w:val="000000" w:themeColor="text1" w:themeTint="FF" w:themeShade="FF"/>
                <w:sz w:val="20"/>
                <w:szCs w:val="20"/>
                <w:lang w:val="ro"/>
              </w:rPr>
              <w:t xml:space="preserve"> 104, 11–31. </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600AE77F" w14:textId="70AD57A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5F07E0C3" w14:textId="2D8EAFF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4A4A7380">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32902333" w14:textId="0EDB4240">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12. Structură de clasă și mobilitate socială în România contemporană</w:t>
            </w:r>
          </w:p>
          <w:p w:rsidR="4B96F792" w:rsidP="4B96F792" w:rsidRDefault="4B96F792" w14:paraId="577E543E" w14:textId="53789D5F">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Lecturi: </w:t>
            </w:r>
          </w:p>
          <w:p w:rsidR="4B96F792" w:rsidP="4B96F792" w:rsidRDefault="4B96F792" w14:paraId="64DB96DC" w14:textId="4F76D236">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Pop, Cristian (2016). </w:t>
            </w:r>
            <w:r w:rsidRPr="4B96F792" w:rsidR="4B96F792">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4B96F792" w:rsidR="4B96F792">
              <w:rPr>
                <w:rFonts w:ascii="Cambria" w:hAnsi="Cambria" w:eastAsia="Cambria" w:cs="Cambria"/>
                <w:color w:val="000000" w:themeColor="text1" w:themeTint="FF" w:themeShade="FF"/>
                <w:sz w:val="20"/>
                <w:szCs w:val="20"/>
                <w:lang w:val="ro"/>
              </w:rPr>
              <w:t xml:space="preserve">Cluj-Napoca: Presa Universitară Clujeană. Cap.4 "Condiționări subiective ale inegalităților sociale" și Cap.5 "Mobilitatea socială în România". </w:t>
            </w:r>
          </w:p>
          <w:p w:rsidR="4B96F792" w:rsidP="4B96F792" w:rsidRDefault="4B96F792" w14:paraId="622920F0" w14:textId="19E2430B">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Exercițiu</w:t>
            </w:r>
            <w:r w:rsidRPr="4B96F792" w:rsidR="4B96F792">
              <w:rPr>
                <w:rFonts w:ascii="Cambria" w:hAnsi="Cambria" w:eastAsia="Cambria" w:cs="Cambria"/>
                <w:color w:val="000000" w:themeColor="text1" w:themeTint="FF" w:themeShade="FF"/>
                <w:sz w:val="20"/>
                <w:szCs w:val="20"/>
                <w:lang w:val="ro"/>
              </w:rPr>
              <w:t>: Alegeți două cohorte cuprinse în cercetarea STRATSOC 2010 și calculați în cazul lor mobilitatea ascendentă, descendentă, imobilitatea, mobilitatea structurală și cea netă. În care dintre cele două cohorte alese este mai puternică mobilitatea ascendentă? Dar mobilitatea structurală? Interpretați rezultatele.</w:t>
            </w:r>
          </w:p>
          <w:p w:rsidR="4B96F792" w:rsidP="4B96F792" w:rsidRDefault="4B96F792" w14:paraId="53CAE63C" w14:textId="3979657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Calculați apoi în cazul lor indicatorii de inegalitate a șanselor în privința accesului la funcții de conducere și ocupații intelectuale în rândul celor ai căror tați au avut o ocupație non-manuală și, respectiv, au fost muncitori manuali. Interpretați rezultatele.</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6D7D5A32" w14:textId="14793DD3">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Introducerea autorilor lecturilor, prezentarea temelor de seminar realizate de studenți, discutarea lecturilor. </w:t>
            </w:r>
          </w:p>
          <w:p w:rsidR="4B96F792" w:rsidP="4B96F792" w:rsidRDefault="4B96F792" w14:paraId="62EA6FD6" w14:textId="29470B7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1F22D8BF" w14:textId="5136D319">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Exerciții de calcul al indicatorilor de mobilitate socială</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4CFFFCCB" w14:textId="2122782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5B4AA862">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6027BFAF" w14:textId="5B19FE79">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Seminar 13.</w:t>
            </w:r>
            <w:r w:rsidRPr="4B96F792" w:rsidR="4B96F792">
              <w:rPr>
                <w:rFonts w:ascii="Cambria" w:hAnsi="Cambria" w:eastAsia="Cambria" w:cs="Cambria"/>
                <w:color w:val="000000" w:themeColor="text1" w:themeTint="FF" w:themeShade="FF"/>
                <w:sz w:val="20"/>
                <w:szCs w:val="20"/>
                <w:lang w:val="ro"/>
              </w:rPr>
              <w:t xml:space="preserve"> </w:t>
            </w:r>
            <w:r w:rsidRPr="4B96F792" w:rsidR="4B96F792">
              <w:rPr>
                <w:rFonts w:ascii="Cambria" w:hAnsi="Cambria" w:eastAsia="Cambria" w:cs="Cambria"/>
                <w:b w:val="1"/>
                <w:bCs w:val="1"/>
                <w:color w:val="000000" w:themeColor="text1" w:themeTint="FF" w:themeShade="FF"/>
                <w:sz w:val="20"/>
                <w:szCs w:val="20"/>
                <w:lang w:val="ro"/>
              </w:rPr>
              <w:t>Recapitulare</w:t>
            </w:r>
          </w:p>
          <w:p w:rsidR="4B96F792" w:rsidP="4B96F792" w:rsidRDefault="4B96F792" w14:paraId="4D9F8DA7" w14:textId="22A618BD">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 </w:t>
            </w:r>
          </w:p>
          <w:p w:rsidR="4B96F792" w:rsidP="4B96F792" w:rsidRDefault="4B96F792" w14:paraId="047B6CF7" w14:textId="459B12B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Recapitulare, exerciții de calcul al indicatorilor de mobilitate. </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3F4E0E3B" w14:textId="28863BBC">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379B59BA" w14:textId="4B9ACFC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4B96F792" w14:paraId="5F510C9C">
        <w:trPr>
          <w:trHeight w:val="300"/>
        </w:trPr>
        <w:tc>
          <w:tcPr>
            <w:tcW w:w="6305" w:type="dxa"/>
            <w:tcBorders>
              <w:top w:val="single" w:sz="8"/>
              <w:left w:val="single" w:sz="8"/>
              <w:bottom w:val="single" w:sz="8"/>
              <w:right w:val="single" w:sz="8"/>
            </w:tcBorders>
            <w:tcMar>
              <w:left w:w="108" w:type="dxa"/>
              <w:right w:w="108" w:type="dxa"/>
            </w:tcMar>
            <w:vAlign w:val="top"/>
          </w:tcPr>
          <w:p w:rsidR="4B96F792" w:rsidP="4B96F792" w:rsidRDefault="4B96F792" w14:paraId="6DA27DF1" w14:textId="447871BA">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Seminar 14. Prezentările studenților </w:t>
            </w:r>
          </w:p>
          <w:p w:rsidR="4B96F792" w:rsidP="4B96F792" w:rsidRDefault="4B96F792" w14:paraId="6C3B8B57" w14:textId="23A8B3F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4B96F792" w:rsidP="4B96F792" w:rsidRDefault="4B96F792" w14:paraId="05A28ABC" w14:textId="11602D25">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Colocviu de prezentare a cercetărilor pilot realizate de studenți în echipe de 2-3 pers.</w:t>
            </w:r>
          </w:p>
        </w:tc>
        <w:tc>
          <w:tcPr>
            <w:tcW w:w="1355" w:type="dxa"/>
            <w:tcBorders>
              <w:top w:val="single" w:sz="8"/>
              <w:left w:val="single" w:sz="8"/>
              <w:bottom w:val="single" w:sz="8"/>
              <w:right w:val="single" w:sz="8"/>
            </w:tcBorders>
            <w:tcMar>
              <w:left w:w="108" w:type="dxa"/>
              <w:right w:w="108" w:type="dxa"/>
            </w:tcMar>
            <w:vAlign w:val="top"/>
          </w:tcPr>
          <w:p w:rsidR="4B96F792" w:rsidP="4B96F792" w:rsidRDefault="4B96F792" w14:paraId="02AF37D3" w14:textId="31D3D2D8">
            <w:pPr>
              <w:spacing w:before="0" w:beforeAutospacing="off" w:after="0" w:afterAutospacing="off" w:line="276" w:lineRule="auto"/>
              <w:rPr>
                <w:rFonts w:ascii="Cambria" w:hAnsi="Cambria" w:eastAsia="Cambria" w:cs="Cambria"/>
                <w:color w:val="000000" w:themeColor="text1" w:themeTint="FF" w:themeShade="FF"/>
                <w:sz w:val="20"/>
                <w:szCs w:val="20"/>
                <w:lang w:val="ro"/>
              </w:rPr>
            </w:pPr>
          </w:p>
        </w:tc>
      </w:tr>
    </w:tbl>
    <w:p w:rsidR="4B96F792" w:rsidP="4B96F792" w:rsidRDefault="4B96F792" w14:paraId="5A7D0033" w14:textId="1B9DFDE8">
      <w:pPr>
        <w:spacing w:after="0"/>
        <w:ind w:hanging="426"/>
        <w:rPr>
          <w:rFonts w:ascii="Cambria" w:hAnsi="Cambria"/>
          <w:b w:val="1"/>
          <w:bCs w:val="1"/>
          <w:sz w:val="20"/>
          <w:szCs w:val="20"/>
        </w:rPr>
      </w:pPr>
    </w:p>
    <w:p w:rsidR="6C9D0185" w:rsidP="4B96F792" w:rsidRDefault="6C9D0185" w14:paraId="3DC6303C" w14:textId="29628884">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jc w:val="both"/>
      </w:pPr>
      <w:r w:rsidRPr="4B96F792" w:rsidR="6C9D0185">
        <w:rPr>
          <w:rFonts w:ascii="Cambria" w:hAnsi="Cambria" w:eastAsia="Cambria" w:cs="Cambria"/>
          <w:b w:val="1"/>
          <w:bCs w:val="1"/>
          <w:noProof w:val="0"/>
          <w:color w:val="000000" w:themeColor="text1" w:themeTint="FF" w:themeShade="FF"/>
          <w:sz w:val="20"/>
          <w:szCs w:val="20"/>
          <w:lang w:val="ro"/>
        </w:rPr>
        <w:t>8.3 Bibliografie</w:t>
      </w:r>
    </w:p>
    <w:p w:rsidR="6C9D0185" w:rsidP="4B96F792" w:rsidRDefault="6C9D0185" w14:paraId="6E386A30" w14:textId="4E7E2B87">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Bourdieu, P. (1989). Social space and symbolic power. </w:t>
      </w:r>
      <w:r w:rsidRPr="4B96F792" w:rsidR="6C9D0185">
        <w:rPr>
          <w:rFonts w:ascii="Cambria" w:hAnsi="Cambria" w:eastAsia="Cambria" w:cs="Cambria"/>
          <w:i w:val="1"/>
          <w:iCs w:val="1"/>
          <w:noProof w:val="0"/>
          <w:color w:val="000000" w:themeColor="text1" w:themeTint="FF" w:themeShade="FF"/>
          <w:sz w:val="20"/>
          <w:szCs w:val="20"/>
          <w:lang w:val="ro"/>
        </w:rPr>
        <w:t>In Other Words</w:t>
      </w:r>
      <w:r w:rsidRPr="4B96F792" w:rsidR="6C9D0185">
        <w:rPr>
          <w:rFonts w:ascii="Cambria" w:hAnsi="Cambria" w:eastAsia="Cambria" w:cs="Cambria"/>
          <w:noProof w:val="0"/>
          <w:color w:val="000000" w:themeColor="text1" w:themeTint="FF" w:themeShade="FF"/>
          <w:sz w:val="20"/>
          <w:szCs w:val="20"/>
          <w:lang w:val="ro"/>
        </w:rPr>
        <w:t>, Polity Press: Cambridge, pp. 123-139.</w:t>
      </w:r>
    </w:p>
    <w:p w:rsidR="6C9D0185" w:rsidP="4B96F792" w:rsidRDefault="6C9D0185" w14:paraId="4EA3D483" w14:textId="110AF5DB">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Bourdieu, P. (1999). </w:t>
      </w:r>
      <w:r w:rsidRPr="4B96F792" w:rsidR="6C9D0185">
        <w:rPr>
          <w:rFonts w:ascii="Cambria" w:hAnsi="Cambria" w:eastAsia="Cambria" w:cs="Cambria"/>
          <w:i w:val="1"/>
          <w:iCs w:val="1"/>
          <w:noProof w:val="0"/>
          <w:color w:val="000000" w:themeColor="text1" w:themeTint="FF" w:themeShade="FF"/>
          <w:sz w:val="20"/>
          <w:szCs w:val="20"/>
          <w:lang w:val="ro"/>
        </w:rPr>
        <w:t xml:space="preserve">Rațiuni practice, </w:t>
      </w:r>
      <w:r w:rsidRPr="4B96F792" w:rsidR="6C9D0185">
        <w:rPr>
          <w:rFonts w:ascii="Cambria" w:hAnsi="Cambria" w:eastAsia="Cambria" w:cs="Cambria"/>
          <w:noProof w:val="0"/>
          <w:color w:val="000000" w:themeColor="text1" w:themeTint="FF" w:themeShade="FF"/>
          <w:sz w:val="20"/>
          <w:szCs w:val="20"/>
          <w:lang w:val="ro"/>
        </w:rPr>
        <w:t>București: Meridiane. Cap. “Spațiu social și spațiu simbolic“, pp. 8-25.</w:t>
      </w:r>
    </w:p>
    <w:p w:rsidR="6C9D0185" w:rsidP="4B96F792" w:rsidRDefault="6C9D0185" w14:paraId="0D4577F3" w14:textId="7156690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Bourdieu, P. (1960): The Peasant and his body. </w:t>
      </w:r>
      <w:r w:rsidRPr="4B96F792" w:rsidR="6C9D0185">
        <w:rPr>
          <w:rFonts w:ascii="Cambria" w:hAnsi="Cambria" w:eastAsia="Cambria" w:cs="Cambria"/>
          <w:i w:val="1"/>
          <w:iCs w:val="1"/>
          <w:noProof w:val="0"/>
          <w:color w:val="000000" w:themeColor="text1" w:themeTint="FF" w:themeShade="FF"/>
          <w:sz w:val="20"/>
          <w:szCs w:val="20"/>
          <w:lang w:val="ro"/>
        </w:rPr>
        <w:t>Ethnography</w:t>
      </w:r>
      <w:r w:rsidRPr="4B96F792" w:rsidR="6C9D0185">
        <w:rPr>
          <w:rFonts w:ascii="Cambria" w:hAnsi="Cambria" w:eastAsia="Cambria" w:cs="Cambria"/>
          <w:noProof w:val="0"/>
          <w:color w:val="000000" w:themeColor="text1" w:themeTint="FF" w:themeShade="FF"/>
          <w:sz w:val="20"/>
          <w:szCs w:val="20"/>
          <w:lang w:val="ro"/>
        </w:rPr>
        <w:t>. vol. 5(4): 579-599.</w:t>
      </w:r>
    </w:p>
    <w:p w:rsidR="6C9D0185" w:rsidP="4B96F792" w:rsidRDefault="6C9D0185" w14:paraId="0CCE412D" w14:textId="431CC0E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Butler, Tim and Watt, T. (2007): Understanding social inequality. Chapter 7: New Work and New Workers. London: Sage.</w:t>
      </w:r>
    </w:p>
    <w:p w:rsidR="6C9D0185" w:rsidP="4B96F792" w:rsidRDefault="6C9D0185" w14:paraId="0824566C" w14:textId="457E1246">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Cucu, Alina-Sandra și Culic, Irina (2012). Procese de configurare a claselor sociale în România. O analiză relațională a căsătoriilor pentru cinci generații. În T. Rotariu și V. Voineagu (eds.) </w:t>
      </w:r>
      <w:r w:rsidRPr="4B96F792" w:rsidR="6C9D0185">
        <w:rPr>
          <w:rFonts w:ascii="Cambria" w:hAnsi="Cambria" w:eastAsia="Cambria" w:cs="Cambria"/>
          <w:i w:val="1"/>
          <w:iCs w:val="1"/>
          <w:noProof w:val="0"/>
          <w:color w:val="000000" w:themeColor="text1" w:themeTint="FF" w:themeShade="FF"/>
          <w:sz w:val="20"/>
          <w:szCs w:val="20"/>
          <w:lang w:val="ro"/>
        </w:rPr>
        <w:t>Inerție și schimbare.</w:t>
      </w:r>
      <w:r w:rsidRPr="4B96F792" w:rsidR="6C9D0185">
        <w:rPr>
          <w:rFonts w:ascii="Cambria" w:hAnsi="Cambria" w:eastAsia="Cambria" w:cs="Cambria"/>
          <w:noProof w:val="0"/>
          <w:color w:val="000000" w:themeColor="text1" w:themeTint="FF" w:themeShade="FF"/>
          <w:sz w:val="20"/>
          <w:szCs w:val="20"/>
          <w:lang w:val="ro"/>
        </w:rPr>
        <w:t xml:space="preserve"> Iași: Polirom, pp. 159-178.</w:t>
      </w:r>
    </w:p>
    <w:p w:rsidR="6C9D0185" w:rsidP="4B96F792" w:rsidRDefault="6C9D0185" w14:paraId="1BA6AF3B" w14:textId="3587F8B6">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Cucu, Alina (2019). </w:t>
      </w:r>
      <w:r w:rsidRPr="4B96F792" w:rsidR="6C9D0185">
        <w:rPr>
          <w:rFonts w:ascii="Cambria" w:hAnsi="Cambria" w:eastAsia="Cambria" w:cs="Cambria"/>
          <w:i w:val="1"/>
          <w:iCs w:val="1"/>
          <w:noProof w:val="0"/>
          <w:color w:val="000000" w:themeColor="text1" w:themeTint="FF" w:themeShade="FF"/>
          <w:sz w:val="20"/>
          <w:szCs w:val="20"/>
          <w:lang w:val="ro"/>
        </w:rPr>
        <w:t xml:space="preserve">Planning labour. </w:t>
      </w:r>
      <w:r w:rsidRPr="4B96F792" w:rsidR="6C9D0185">
        <w:rPr>
          <w:rFonts w:ascii="Cambria" w:hAnsi="Cambria" w:eastAsia="Cambria" w:cs="Cambria"/>
          <w:noProof w:val="0"/>
          <w:color w:val="000000" w:themeColor="text1" w:themeTint="FF" w:themeShade="FF"/>
          <w:sz w:val="20"/>
          <w:szCs w:val="20"/>
          <w:lang w:val="ro"/>
        </w:rPr>
        <w:t xml:space="preserve">Oxford: Beghahn Books. Chapter 3, pp. 109-147. </w:t>
      </w:r>
    </w:p>
    <w:p w:rsidR="6C9D0185" w:rsidP="4B96F792" w:rsidRDefault="6C9D0185" w14:paraId="6482BCB4" w14:textId="1E63277B">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sz w:val="20"/>
          <w:szCs w:val="20"/>
          <w:lang w:val="ro"/>
        </w:rPr>
        <w:t xml:space="preserve">Eurofound (2017). </w:t>
      </w:r>
      <w:r w:rsidRPr="4B96F792" w:rsidR="6C9D0185">
        <w:rPr>
          <w:rFonts w:ascii="Cambria" w:hAnsi="Cambria" w:eastAsia="Cambria" w:cs="Cambria"/>
          <w:i w:val="1"/>
          <w:iCs w:val="1"/>
          <w:noProof w:val="0"/>
          <w:sz w:val="20"/>
          <w:szCs w:val="20"/>
          <w:lang w:val="ro"/>
        </w:rPr>
        <w:t xml:space="preserve">Social mobility in the EU, </w:t>
      </w:r>
      <w:r w:rsidRPr="4B96F792" w:rsidR="6C9D0185">
        <w:rPr>
          <w:rFonts w:ascii="Cambria" w:hAnsi="Cambria" w:eastAsia="Cambria" w:cs="Cambria"/>
          <w:noProof w:val="0"/>
          <w:sz w:val="20"/>
          <w:szCs w:val="20"/>
          <w:lang w:val="ro"/>
        </w:rPr>
        <w:t xml:space="preserve">Publications Office of the European Union, Luxembourg. Authors: Anna Ludwinek, Robert Anderson, Daphne Ahrendt, Jean-Marie Jungblut, Tadas Leončikas. </w:t>
      </w:r>
    </w:p>
    <w:p w:rsidR="6C9D0185" w:rsidP="4B96F792" w:rsidRDefault="6C9D0185" w14:paraId="7BA4E326" w14:textId="59B36A6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Fraser, Nancy (2012). Probleme de teorie socială. Despre clasă și statut în societatea capitalistă. În A.Honneth și N.Fraser, </w:t>
      </w:r>
      <w:r w:rsidRPr="4B96F792" w:rsidR="6C9D0185">
        <w:rPr>
          <w:rFonts w:ascii="Cambria" w:hAnsi="Cambria" w:eastAsia="Cambria" w:cs="Cambria"/>
          <w:i w:val="1"/>
          <w:iCs w:val="1"/>
          <w:noProof w:val="0"/>
          <w:color w:val="000000" w:themeColor="text1" w:themeTint="FF" w:themeShade="FF"/>
          <w:sz w:val="20"/>
          <w:szCs w:val="20"/>
          <w:lang w:val="ro"/>
        </w:rPr>
        <w:t>Despre redistribuție și recunoaștere.</w:t>
      </w:r>
      <w:r w:rsidRPr="4B96F792" w:rsidR="6C9D0185">
        <w:rPr>
          <w:rFonts w:ascii="Cambria" w:hAnsi="Cambria" w:eastAsia="Cambria" w:cs="Cambria"/>
          <w:noProof w:val="0"/>
          <w:color w:val="000000" w:themeColor="text1" w:themeTint="FF" w:themeShade="FF"/>
          <w:sz w:val="20"/>
          <w:szCs w:val="20"/>
          <w:lang w:val="ro"/>
        </w:rPr>
        <w:t>Cluj-Napoca: Tact, pp. 89-119.</w:t>
      </w:r>
    </w:p>
    <w:p w:rsidR="6C9D0185" w:rsidP="4B96F792" w:rsidRDefault="6C9D0185" w14:paraId="4614742D" w14:textId="7D36E06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Fraser, Nancy (1996). </w:t>
      </w:r>
      <w:r w:rsidRPr="4B96F792" w:rsidR="6C9D0185">
        <w:rPr>
          <w:rFonts w:ascii="Cambria" w:hAnsi="Cambria" w:eastAsia="Cambria" w:cs="Cambria"/>
          <w:i w:val="1"/>
          <w:iCs w:val="1"/>
          <w:noProof w:val="0"/>
          <w:color w:val="000000" w:themeColor="text1" w:themeTint="FF" w:themeShade="FF"/>
          <w:sz w:val="20"/>
          <w:szCs w:val="20"/>
          <w:lang w:val="ro"/>
        </w:rPr>
        <w:t>Social justice in the age of identity politics. Redistribution, recognition, and participation.</w:t>
      </w:r>
      <w:r w:rsidRPr="4B96F792" w:rsidR="6C9D0185">
        <w:rPr>
          <w:rFonts w:ascii="Cambria" w:hAnsi="Cambria" w:eastAsia="Cambria" w:cs="Cambria"/>
          <w:noProof w:val="0"/>
          <w:color w:val="000000" w:themeColor="text1" w:themeTint="FF" w:themeShade="FF"/>
          <w:sz w:val="20"/>
          <w:szCs w:val="20"/>
          <w:lang w:val="ro"/>
        </w:rPr>
        <w:t>The Tanner Lectures on Human Values, University of Stanford.</w:t>
      </w:r>
    </w:p>
    <w:p w:rsidR="6C9D0185" w:rsidP="4B96F792" w:rsidRDefault="6C9D0185" w14:paraId="6C11B128" w14:textId="3DA6651D">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Kalb, D (2004): ‘Bare Legs Like Ice’: Recasting Class for Local/Global Inquiry. In </w:t>
      </w:r>
      <w:r w:rsidRPr="4B96F792" w:rsidR="6C9D0185">
        <w:rPr>
          <w:rFonts w:ascii="Cambria" w:hAnsi="Cambria" w:eastAsia="Cambria" w:cs="Cambria"/>
          <w:i w:val="1"/>
          <w:iCs w:val="1"/>
          <w:noProof w:val="0"/>
          <w:color w:val="000000" w:themeColor="text1" w:themeTint="FF" w:themeShade="FF"/>
          <w:sz w:val="20"/>
          <w:szCs w:val="20"/>
          <w:lang w:val="ro"/>
        </w:rPr>
        <w:t>Critical junctions: anthropology and history beyond the cultural turn,</w:t>
      </w:r>
      <w:r w:rsidRPr="4B96F792" w:rsidR="6C9D0185">
        <w:rPr>
          <w:rFonts w:ascii="Cambria" w:hAnsi="Cambria" w:eastAsia="Cambria" w:cs="Cambria"/>
          <w:noProof w:val="0"/>
          <w:color w:val="000000" w:themeColor="text1" w:themeTint="FF" w:themeShade="FF"/>
          <w:sz w:val="20"/>
          <w:szCs w:val="20"/>
          <w:lang w:val="ro"/>
        </w:rPr>
        <w:t xml:space="preserve"> D. Kalb and H. Tak (eds.), New York: Berghahn Books, pp. 109-136.</w:t>
      </w:r>
    </w:p>
    <w:p w:rsidR="6C9D0185" w:rsidP="4B96F792" w:rsidRDefault="6C9D0185" w14:paraId="18598E11" w14:textId="715F99F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sz w:val="20"/>
          <w:szCs w:val="20"/>
          <w:lang w:val="en-US"/>
        </w:rPr>
        <w:t xml:space="preserve">Kalb, Don (2015). Introduction: class and the new anthropological holims. In J.Carrier and D.Kalb (eds.) </w:t>
      </w:r>
      <w:r w:rsidRPr="4B96F792" w:rsidR="6C9D0185">
        <w:rPr>
          <w:rFonts w:ascii="Cambria" w:hAnsi="Cambria" w:eastAsia="Cambria" w:cs="Cambria"/>
          <w:i w:val="1"/>
          <w:iCs w:val="1"/>
          <w:noProof w:val="0"/>
          <w:sz w:val="20"/>
          <w:szCs w:val="20"/>
          <w:lang w:val="en-US"/>
        </w:rPr>
        <w:t xml:space="preserve">Anthropologies of Class. Power, Practice, and Inequality. </w:t>
      </w:r>
      <w:r w:rsidRPr="4B96F792" w:rsidR="6C9D0185">
        <w:rPr>
          <w:rFonts w:ascii="Cambria" w:hAnsi="Cambria" w:eastAsia="Cambria" w:cs="Cambria"/>
          <w:noProof w:val="0"/>
          <w:sz w:val="20"/>
          <w:szCs w:val="20"/>
          <w:lang w:val="en-US"/>
        </w:rPr>
        <w:t xml:space="preserve">Cambridge: Cambridge University Press, pp. 1-28. </w:t>
      </w:r>
      <w:r w:rsidRPr="4B96F792" w:rsidR="6C9D0185">
        <w:rPr>
          <w:rFonts w:ascii="Cambria" w:hAnsi="Cambria" w:eastAsia="Cambria" w:cs="Cambria"/>
          <w:noProof w:val="0"/>
          <w:color w:val="000000" w:themeColor="text1" w:themeTint="FF" w:themeShade="FF"/>
          <w:sz w:val="20"/>
          <w:szCs w:val="20"/>
          <w:lang w:val="en-US"/>
        </w:rPr>
        <w:t xml:space="preserve">Ingram, Nicola and Allen, Kim (2019). ‘Talent-spotting’ or ‘social magic’? Inequality, cultural sorting and constructions of the ideal graduate in elite professions. </w:t>
      </w:r>
      <w:r w:rsidRPr="4B96F792" w:rsidR="6C9D0185">
        <w:rPr>
          <w:rFonts w:ascii="Cambria" w:hAnsi="Cambria" w:eastAsia="Cambria" w:cs="Cambria"/>
          <w:i w:val="1"/>
          <w:iCs w:val="1"/>
          <w:noProof w:val="0"/>
          <w:color w:val="000000" w:themeColor="text1" w:themeTint="FF" w:themeShade="FF"/>
          <w:sz w:val="20"/>
          <w:szCs w:val="20"/>
          <w:lang w:val="en-US"/>
        </w:rPr>
        <w:t>Sociological Review</w:t>
      </w:r>
      <w:r w:rsidRPr="4B96F792" w:rsidR="6C9D0185">
        <w:rPr>
          <w:rFonts w:ascii="Cambria" w:hAnsi="Cambria" w:eastAsia="Cambria" w:cs="Cambria"/>
          <w:noProof w:val="0"/>
          <w:color w:val="000000" w:themeColor="text1" w:themeTint="FF" w:themeShade="FF"/>
          <w:sz w:val="20"/>
          <w:szCs w:val="20"/>
          <w:lang w:val="en-US"/>
        </w:rPr>
        <w:t>, 67 (3). pp. 723-740.</w:t>
      </w:r>
    </w:p>
    <w:p w:rsidR="6C9D0185" w:rsidP="4B96F792" w:rsidRDefault="6C9D0185" w14:paraId="638F4B73" w14:textId="178098C8">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Harvey, David (2003): </w:t>
      </w:r>
      <w:r w:rsidRPr="4B96F792" w:rsidR="6C9D0185">
        <w:rPr>
          <w:rFonts w:ascii="Cambria" w:hAnsi="Cambria" w:eastAsia="Cambria" w:cs="Cambria"/>
          <w:i w:val="1"/>
          <w:iCs w:val="1"/>
          <w:noProof w:val="0"/>
          <w:color w:val="000000" w:themeColor="text1" w:themeTint="FF" w:themeShade="FF"/>
          <w:sz w:val="20"/>
          <w:szCs w:val="20"/>
          <w:lang w:val="ro"/>
        </w:rPr>
        <w:t>The New Imperialism</w:t>
      </w:r>
      <w:r w:rsidRPr="4B96F792" w:rsidR="6C9D0185">
        <w:rPr>
          <w:rFonts w:ascii="Cambria" w:hAnsi="Cambria" w:eastAsia="Cambria" w:cs="Cambria"/>
          <w:noProof w:val="0"/>
          <w:color w:val="000000" w:themeColor="text1" w:themeTint="FF" w:themeShade="FF"/>
          <w:sz w:val="20"/>
          <w:szCs w:val="20"/>
          <w:lang w:val="ro"/>
        </w:rPr>
        <w:t xml:space="preserve">. Oxford: Oxford University Press, Chapter: “Accumulation by Dispossession”, pp. 137-182 (tradus în lb.română ca </w:t>
      </w:r>
      <w:r w:rsidRPr="4B96F792" w:rsidR="6C9D0185">
        <w:rPr>
          <w:rFonts w:ascii="Cambria" w:hAnsi="Cambria" w:eastAsia="Cambria" w:cs="Cambria"/>
          <w:i w:val="1"/>
          <w:iCs w:val="1"/>
          <w:noProof w:val="0"/>
          <w:color w:val="000000" w:themeColor="text1" w:themeTint="FF" w:themeShade="FF"/>
          <w:sz w:val="20"/>
          <w:szCs w:val="20"/>
          <w:lang w:val="ro"/>
        </w:rPr>
        <w:t xml:space="preserve">Noul imperialism </w:t>
      </w:r>
      <w:r w:rsidRPr="4B96F792" w:rsidR="6C9D0185">
        <w:rPr>
          <w:rFonts w:ascii="Cambria" w:hAnsi="Cambria" w:eastAsia="Cambria" w:cs="Cambria"/>
          <w:noProof w:val="0"/>
          <w:color w:val="000000" w:themeColor="text1" w:themeTint="FF" w:themeShade="FF"/>
          <w:sz w:val="20"/>
          <w:szCs w:val="20"/>
          <w:lang w:val="ro"/>
        </w:rPr>
        <w:t>și publicat în 2003 la editura ALL. Volumul în limba română este disponibil la BCU).</w:t>
      </w:r>
    </w:p>
    <w:p w:rsidR="6C9D0185" w:rsidP="4B96F792" w:rsidRDefault="6C9D0185" w14:paraId="5C99FF04" w14:textId="6929DD1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Islam, Nazrul and Winkel, John (2017). Climage change and social inequality, </w:t>
      </w:r>
      <w:r w:rsidRPr="4B96F792" w:rsidR="6C9D0185">
        <w:rPr>
          <w:rFonts w:ascii="Cambria" w:hAnsi="Cambria" w:eastAsia="Cambria" w:cs="Cambria"/>
          <w:i w:val="1"/>
          <w:iCs w:val="1"/>
          <w:noProof w:val="0"/>
          <w:color w:val="000000" w:themeColor="text1" w:themeTint="FF" w:themeShade="FF"/>
          <w:sz w:val="20"/>
          <w:szCs w:val="20"/>
          <w:lang w:val="ro"/>
        </w:rPr>
        <w:t xml:space="preserve">DESA Working Paper, </w:t>
      </w:r>
      <w:r w:rsidRPr="4B96F792" w:rsidR="6C9D0185">
        <w:rPr>
          <w:rFonts w:ascii="Cambria" w:hAnsi="Cambria" w:eastAsia="Cambria" w:cs="Cambria"/>
          <w:noProof w:val="0"/>
          <w:color w:val="000000" w:themeColor="text1" w:themeTint="FF" w:themeShade="FF"/>
          <w:sz w:val="20"/>
          <w:szCs w:val="20"/>
          <w:lang w:val="ro"/>
        </w:rPr>
        <w:t>No.152:1-31.</w:t>
      </w:r>
    </w:p>
    <w:p w:rsidR="6C9D0185" w:rsidP="4B96F792" w:rsidRDefault="6C9D0185" w14:paraId="659992CF" w14:textId="2E7AF777">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Markkanen, Sanna and Annela Anger-Kraavi (2019) Social impacts of climate change mitigation policies and their implications for inequality, Climate Policy, 19:7, 827-844.</w:t>
      </w:r>
    </w:p>
    <w:p w:rsidR="6C9D0185" w:rsidP="4B96F792" w:rsidRDefault="6C9D0185" w14:paraId="7E167170" w14:textId="19DCA25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sz w:val="20"/>
          <w:szCs w:val="20"/>
          <w:lang w:val="ro"/>
        </w:rPr>
        <w:t>Martindale, Nicholas and Lehdonvirta, Villi (2023). Labour market digitalization and social class: evidence of mobility and reproduction from a European survey of online platform workers. Socio-Economic Review, 2023, Vol. 21, No. 4, pp. 1945–1965.</w:t>
      </w:r>
    </w:p>
    <w:p w:rsidR="6C9D0185" w:rsidP="4B96F792" w:rsidRDefault="6C9D0185" w14:paraId="66578CFD" w14:textId="01FB44E3">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Marx, K. Muncă salariată și capital, </w:t>
      </w:r>
      <w:r w:rsidRPr="4B96F792" w:rsidR="6C9D0185">
        <w:rPr>
          <w:rFonts w:ascii="Cambria" w:hAnsi="Cambria" w:eastAsia="Cambria" w:cs="Cambria"/>
          <w:i w:val="1"/>
          <w:iCs w:val="1"/>
          <w:noProof w:val="0"/>
          <w:color w:val="000000" w:themeColor="text1" w:themeTint="FF" w:themeShade="FF"/>
          <w:sz w:val="20"/>
          <w:szCs w:val="20"/>
          <w:lang w:val="ro"/>
        </w:rPr>
        <w:t xml:space="preserve">Neue Rheinische Zeitung, </w:t>
      </w:r>
      <w:r w:rsidRPr="4B96F792" w:rsidR="6C9D0185">
        <w:rPr>
          <w:rFonts w:ascii="Cambria" w:hAnsi="Cambria" w:eastAsia="Cambria" w:cs="Cambria"/>
          <w:noProof w:val="0"/>
          <w:color w:val="000000" w:themeColor="text1" w:themeTint="FF" w:themeShade="FF"/>
          <w:sz w:val="20"/>
          <w:szCs w:val="20"/>
          <w:lang w:val="ro"/>
        </w:rPr>
        <w:t xml:space="preserve">pp. 264-267 şi 269 (5-8 şi 11 aprilie, 1849 [1947]). Disponibil și: </w:t>
      </w:r>
      <w:hyperlink r:id="Re8b78616d2d942bd">
        <w:r w:rsidRPr="4B96F792" w:rsidR="6C9D0185">
          <w:rPr>
            <w:rStyle w:val="Hyperlink"/>
            <w:rFonts w:ascii="Cambria" w:hAnsi="Cambria" w:eastAsia="Cambria" w:cs="Cambria"/>
            <w:strike w:val="0"/>
            <w:dstrike w:val="0"/>
            <w:noProof w:val="0"/>
            <w:color w:val="0000FF"/>
            <w:sz w:val="20"/>
            <w:szCs w:val="20"/>
            <w:u w:val="single"/>
            <w:lang w:val="ro"/>
          </w:rPr>
          <w:t>www.marxists.org</w:t>
        </w:r>
      </w:hyperlink>
    </w:p>
    <w:p w:rsidR="6C9D0185" w:rsidP="4B96F792" w:rsidRDefault="6C9D0185" w14:paraId="5DDA4E85" w14:textId="02697646">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McCrory Calarco, Jessica (2014). Coached for the Classroom: Parents’ Cultural Transmission and Children’s Reproduction of Educational Inequalities. </w:t>
      </w:r>
      <w:r w:rsidRPr="4B96F792" w:rsidR="6C9D0185">
        <w:rPr>
          <w:rFonts w:ascii="Cambria" w:hAnsi="Cambria" w:eastAsia="Cambria" w:cs="Cambria"/>
          <w:i w:val="1"/>
          <w:iCs w:val="1"/>
          <w:noProof w:val="0"/>
          <w:color w:val="000000" w:themeColor="text1" w:themeTint="FF" w:themeShade="FF"/>
          <w:sz w:val="20"/>
          <w:szCs w:val="20"/>
          <w:lang w:val="ro"/>
        </w:rPr>
        <w:t>American Sociological Review</w:t>
      </w:r>
      <w:r w:rsidRPr="4B96F792" w:rsidR="6C9D0185">
        <w:rPr>
          <w:rFonts w:ascii="Cambria" w:hAnsi="Cambria" w:eastAsia="Cambria" w:cs="Cambria"/>
          <w:noProof w:val="0"/>
          <w:color w:val="000000" w:themeColor="text1" w:themeTint="FF" w:themeShade="FF"/>
          <w:sz w:val="20"/>
          <w:szCs w:val="20"/>
          <w:lang w:val="ro"/>
        </w:rPr>
        <w:t>, 79(5): 1015–1037.</w:t>
      </w:r>
    </w:p>
    <w:p w:rsidR="6C9D0185" w:rsidP="4B96F792" w:rsidRDefault="6C9D0185" w14:paraId="1F8B44A2" w14:textId="366750E8">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Mărginean, Mara (2013). Spațiu public, spațiu privat. Experiențe cotidiene în centrele siderurgice ale regiunii Hunedoara, 1945-1968. În Jinga, L. și Bosomitu, Ș. (eds.).</w:t>
      </w:r>
      <w:r w:rsidRPr="4B96F792" w:rsidR="6C9D0185">
        <w:rPr>
          <w:rFonts w:ascii="Cambria" w:hAnsi="Cambria" w:eastAsia="Cambria" w:cs="Cambria"/>
          <w:i w:val="1"/>
          <w:iCs w:val="1"/>
          <w:noProof w:val="0"/>
          <w:color w:val="000000" w:themeColor="text1" w:themeTint="FF" w:themeShade="FF"/>
          <w:sz w:val="20"/>
          <w:szCs w:val="20"/>
          <w:lang w:val="ro"/>
        </w:rPr>
        <w:t xml:space="preserve"> Între transformare și adaptare. </w:t>
      </w:r>
      <w:r w:rsidRPr="4B96F792" w:rsidR="6C9D0185">
        <w:rPr>
          <w:rFonts w:ascii="Cambria" w:hAnsi="Cambria" w:eastAsia="Cambria" w:cs="Cambria"/>
          <w:noProof w:val="0"/>
          <w:color w:val="000000" w:themeColor="text1" w:themeTint="FF" w:themeShade="FF"/>
          <w:sz w:val="20"/>
          <w:szCs w:val="20"/>
          <w:lang w:val="ro"/>
        </w:rPr>
        <w:t>Arhiva IICCMER, București, pp, 45-75.</w:t>
      </w:r>
    </w:p>
    <w:p w:rsidR="6C9D0185" w:rsidP="4B96F792" w:rsidRDefault="6C9D0185" w14:paraId="4F4253E6" w14:textId="5812C56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ind w:left="426" w:right="0" w:hanging="426"/>
      </w:pPr>
      <w:r w:rsidRPr="4B96F792" w:rsidR="6C9D0185">
        <w:rPr>
          <w:rFonts w:ascii="Cambria" w:hAnsi="Cambria" w:eastAsia="Cambria" w:cs="Cambria"/>
          <w:noProof w:val="0"/>
          <w:color w:val="000000" w:themeColor="text1" w:themeTint="FF" w:themeShade="FF"/>
          <w:sz w:val="20"/>
          <w:szCs w:val="20"/>
          <w:lang w:val="ro"/>
        </w:rPr>
        <w:t xml:space="preserve">Pop, Cristian (2016). </w:t>
      </w:r>
      <w:r w:rsidRPr="4B96F792" w:rsidR="6C9D0185">
        <w:rPr>
          <w:rFonts w:ascii="Cambria" w:hAnsi="Cambria" w:eastAsia="Cambria" w:cs="Cambria"/>
          <w:i w:val="1"/>
          <w:iCs w:val="1"/>
          <w:noProof w:val="0"/>
          <w:color w:val="000000" w:themeColor="text1" w:themeTint="FF" w:themeShade="FF"/>
          <w:sz w:val="20"/>
          <w:szCs w:val="20"/>
          <w:lang w:val="ro"/>
        </w:rPr>
        <w:t xml:space="preserve">Clase sociale în România. Metodologia inegalităților. </w:t>
      </w:r>
      <w:r w:rsidRPr="4B96F792" w:rsidR="6C9D0185">
        <w:rPr>
          <w:rFonts w:ascii="Cambria" w:hAnsi="Cambria" w:eastAsia="Cambria" w:cs="Cambria"/>
          <w:noProof w:val="0"/>
          <w:color w:val="000000" w:themeColor="text1" w:themeTint="FF" w:themeShade="FF"/>
          <w:sz w:val="20"/>
          <w:szCs w:val="20"/>
          <w:lang w:val="ro"/>
        </w:rPr>
        <w:t>Cluj-Napoca: Presa Universitară Clujeană.</w:t>
      </w:r>
    </w:p>
    <w:p w:rsidR="6C9D0185" w:rsidP="4B96F792" w:rsidRDefault="6C9D0185" w14:paraId="073E3AC8" w14:textId="61B435A9">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Rotariu, Traian (2004). Despre rolul școlii în procesele de mobilitate socială. </w:t>
      </w:r>
      <w:r w:rsidRPr="4B96F792" w:rsidR="6C9D0185">
        <w:rPr>
          <w:rFonts w:ascii="Cambria" w:hAnsi="Cambria" w:eastAsia="Cambria" w:cs="Cambria"/>
          <w:i w:val="1"/>
          <w:iCs w:val="1"/>
          <w:noProof w:val="0"/>
          <w:color w:val="000000" w:themeColor="text1" w:themeTint="FF" w:themeShade="FF"/>
          <w:sz w:val="20"/>
          <w:szCs w:val="20"/>
          <w:lang w:val="ro"/>
        </w:rPr>
        <w:t xml:space="preserve">Studia Universitatis Babes-Bolyai, Seria Sociologica, </w:t>
      </w:r>
      <w:r w:rsidRPr="4B96F792" w:rsidR="6C9D0185">
        <w:rPr>
          <w:rFonts w:ascii="Cambria" w:hAnsi="Cambria" w:eastAsia="Cambria" w:cs="Cambria"/>
          <w:noProof w:val="0"/>
          <w:color w:val="000000" w:themeColor="text1" w:themeTint="FF" w:themeShade="FF"/>
          <w:sz w:val="20"/>
          <w:szCs w:val="20"/>
          <w:lang w:val="ro"/>
        </w:rPr>
        <w:t>No. 2/2004. (parola de acces: qqq)</w:t>
      </w:r>
    </w:p>
    <w:p w:rsidR="6C9D0185" w:rsidP="4B96F792" w:rsidRDefault="6C9D0185" w14:paraId="0AC6D1FB" w14:textId="594AC1C3">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sz w:val="20"/>
          <w:szCs w:val="20"/>
          <w:lang w:val="ro"/>
        </w:rPr>
        <w:t xml:space="preserve">Standing, Guy (2015). The Precariat and Class Struggle, </w:t>
      </w:r>
      <w:r w:rsidRPr="4B96F792" w:rsidR="6C9D0185">
        <w:rPr>
          <w:rFonts w:ascii="Cambria" w:hAnsi="Cambria" w:eastAsia="Cambria" w:cs="Cambria"/>
          <w:i w:val="1"/>
          <w:iCs w:val="1"/>
          <w:noProof w:val="0"/>
          <w:sz w:val="20"/>
          <w:szCs w:val="20"/>
          <w:lang w:val="ro"/>
        </w:rPr>
        <w:t xml:space="preserve">RCCS Annual Review </w:t>
      </w:r>
      <w:r w:rsidRPr="4B96F792" w:rsidR="6C9D0185">
        <w:rPr>
          <w:rFonts w:ascii="Cambria" w:hAnsi="Cambria" w:eastAsia="Cambria" w:cs="Cambria"/>
          <w:noProof w:val="0"/>
          <w:sz w:val="20"/>
          <w:szCs w:val="20"/>
          <w:lang w:val="ro"/>
        </w:rPr>
        <w:t xml:space="preserve">[Online], 7 | 2015, </w:t>
      </w:r>
      <w:hyperlink r:id="Rde7f987acd344ffb">
        <w:r w:rsidRPr="4B96F792" w:rsidR="6C9D0185">
          <w:rPr>
            <w:rStyle w:val="Hyperlink"/>
            <w:rFonts w:ascii="Cambria" w:hAnsi="Cambria" w:eastAsia="Cambria" w:cs="Cambria"/>
            <w:strike w:val="0"/>
            <w:dstrike w:val="0"/>
            <w:noProof w:val="0"/>
            <w:color w:val="467886"/>
            <w:sz w:val="20"/>
            <w:szCs w:val="20"/>
            <w:u w:val="single"/>
            <w:lang w:val="ro"/>
          </w:rPr>
          <w:t>http://journals.openedition.org/rccsar/585</w:t>
        </w:r>
      </w:hyperlink>
      <w:r w:rsidRPr="4B96F792" w:rsidR="6C9D0185">
        <w:rPr>
          <w:rFonts w:ascii="Cambria" w:hAnsi="Cambria" w:eastAsia="Cambria" w:cs="Cambria"/>
          <w:noProof w:val="0"/>
          <w:sz w:val="20"/>
          <w:szCs w:val="20"/>
          <w:lang w:val="ro"/>
        </w:rPr>
        <w:t>.</w:t>
      </w:r>
    </w:p>
    <w:p w:rsidR="6C9D0185" w:rsidP="4B96F792" w:rsidRDefault="6C9D0185" w14:paraId="0736255D" w14:textId="4C95E9E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Standing, Guy (2012). Precariatul şi de ce ar avea aceasta nevoie de o democraţie deliberativă. </w:t>
      </w:r>
      <w:r w:rsidRPr="4B96F792" w:rsidR="6C9D0185">
        <w:rPr>
          <w:rFonts w:ascii="Cambria" w:hAnsi="Cambria" w:eastAsia="Cambria" w:cs="Cambria"/>
          <w:i w:val="1"/>
          <w:iCs w:val="1"/>
          <w:noProof w:val="0"/>
          <w:color w:val="000000" w:themeColor="text1" w:themeTint="FF" w:themeShade="FF"/>
          <w:sz w:val="20"/>
          <w:szCs w:val="20"/>
          <w:lang w:val="ro"/>
        </w:rPr>
        <w:t xml:space="preserve">Critic Atac, </w:t>
      </w:r>
      <w:r w:rsidRPr="4B96F792" w:rsidR="6C9D0185">
        <w:rPr>
          <w:rFonts w:ascii="Cambria" w:hAnsi="Cambria" w:eastAsia="Cambria" w:cs="Cambria"/>
          <w:noProof w:val="0"/>
          <w:color w:val="000000" w:themeColor="text1" w:themeTint="FF" w:themeShade="FF"/>
          <w:sz w:val="20"/>
          <w:szCs w:val="20"/>
          <w:lang w:val="ro"/>
        </w:rPr>
        <w:t>13.09.2012.</w:t>
      </w:r>
    </w:p>
    <w:p w:rsidR="6C9D0185" w:rsidP="4B96F792" w:rsidRDefault="6C9D0185" w14:paraId="779E3962" w14:textId="5981AE37">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Țoc, Sebastian (2016). Familie, şcoală şi success şcolar în învăţământul românesc. </w:t>
      </w:r>
      <w:r w:rsidRPr="4B96F792" w:rsidR="6C9D0185">
        <w:rPr>
          <w:rFonts w:ascii="Cambria" w:hAnsi="Cambria" w:eastAsia="Cambria" w:cs="Cambria"/>
          <w:i w:val="1"/>
          <w:iCs w:val="1"/>
          <w:noProof w:val="0"/>
          <w:color w:val="000000" w:themeColor="text1" w:themeTint="FF" w:themeShade="FF"/>
          <w:sz w:val="20"/>
          <w:szCs w:val="20"/>
          <w:lang w:val="ro"/>
        </w:rPr>
        <w:t>Calitatea</w:t>
      </w:r>
      <w:r w:rsidRPr="4B96F792" w:rsidR="6C9D0185">
        <w:rPr>
          <w:rFonts w:ascii="Cambria" w:hAnsi="Cambria" w:eastAsia="Cambria" w:cs="Cambria"/>
          <w:noProof w:val="0"/>
          <w:color w:val="000000" w:themeColor="text1" w:themeTint="FF" w:themeShade="FF"/>
          <w:sz w:val="20"/>
          <w:szCs w:val="20"/>
          <w:lang w:val="ro"/>
        </w:rPr>
        <w:t xml:space="preserve"> </w:t>
      </w:r>
      <w:r w:rsidRPr="4B96F792" w:rsidR="6C9D0185">
        <w:rPr>
          <w:rFonts w:ascii="Cambria" w:hAnsi="Cambria" w:eastAsia="Cambria" w:cs="Cambria"/>
          <w:i w:val="1"/>
          <w:iCs w:val="1"/>
          <w:noProof w:val="0"/>
          <w:color w:val="000000" w:themeColor="text1" w:themeTint="FF" w:themeShade="FF"/>
          <w:sz w:val="20"/>
          <w:szCs w:val="20"/>
          <w:lang w:val="ro"/>
        </w:rPr>
        <w:t xml:space="preserve">vieţii, </w:t>
      </w:r>
      <w:r w:rsidRPr="4B96F792" w:rsidR="6C9D0185">
        <w:rPr>
          <w:rFonts w:ascii="Cambria" w:hAnsi="Cambria" w:eastAsia="Cambria" w:cs="Cambria"/>
          <w:noProof w:val="0"/>
          <w:color w:val="000000" w:themeColor="text1" w:themeTint="FF" w:themeShade="FF"/>
          <w:sz w:val="20"/>
          <w:szCs w:val="20"/>
          <w:lang w:val="ro"/>
        </w:rPr>
        <w:t>27(3): 189-215.</w:t>
      </w:r>
    </w:p>
    <w:p w:rsidR="6C9D0185" w:rsidP="4B96F792" w:rsidRDefault="6C9D0185" w14:paraId="64E38CE2" w14:textId="073DAE65">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ind w:left="426" w:right="0" w:hanging="426"/>
      </w:pPr>
      <w:r w:rsidRPr="4B96F792" w:rsidR="6C9D0185">
        <w:rPr>
          <w:rFonts w:ascii="Cambria" w:hAnsi="Cambria" w:eastAsia="Cambria" w:cs="Cambria"/>
          <w:noProof w:val="0"/>
          <w:color w:val="000000" w:themeColor="text1" w:themeTint="FF" w:themeShade="FF"/>
          <w:sz w:val="20"/>
          <w:szCs w:val="20"/>
          <w:lang w:val="ro"/>
        </w:rPr>
        <w:t xml:space="preserve">Vincze, Eniko (2012). Rampa de gunoi: spațiul marginalizării urbane avansate rasializate în România de azi. </w:t>
      </w:r>
      <w:r w:rsidRPr="4B96F792" w:rsidR="6C9D0185">
        <w:rPr>
          <w:rFonts w:ascii="Cambria" w:hAnsi="Cambria" w:eastAsia="Cambria" w:cs="Cambria"/>
          <w:i w:val="1"/>
          <w:iCs w:val="1"/>
          <w:noProof w:val="0"/>
          <w:color w:val="000000" w:themeColor="text1" w:themeTint="FF" w:themeShade="FF"/>
          <w:sz w:val="20"/>
          <w:szCs w:val="20"/>
          <w:lang w:val="ro"/>
        </w:rPr>
        <w:t xml:space="preserve">Critic Atac, </w:t>
      </w:r>
      <w:r w:rsidRPr="4B96F792" w:rsidR="6C9D0185">
        <w:rPr>
          <w:rFonts w:ascii="Cambria" w:hAnsi="Cambria" w:eastAsia="Cambria" w:cs="Cambria"/>
          <w:noProof w:val="0"/>
          <w:color w:val="000000" w:themeColor="text1" w:themeTint="FF" w:themeShade="FF"/>
          <w:sz w:val="20"/>
          <w:szCs w:val="20"/>
          <w:lang w:val="ro"/>
        </w:rPr>
        <w:t>11.09.2012.</w:t>
      </w:r>
    </w:p>
    <w:p w:rsidR="6C9D0185" w:rsidP="4B96F792" w:rsidRDefault="6C9D0185" w14:paraId="4664A66E" w14:textId="2539277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ind w:left="426" w:right="0" w:hanging="426"/>
      </w:pPr>
      <w:r w:rsidRPr="4B96F792" w:rsidR="6C9D0185">
        <w:rPr>
          <w:rFonts w:ascii="Cambria" w:hAnsi="Cambria" w:eastAsia="Cambria" w:cs="Cambria"/>
          <w:noProof w:val="0"/>
          <w:sz w:val="20"/>
          <w:szCs w:val="20"/>
          <w:lang w:val="ro"/>
        </w:rPr>
        <w:t xml:space="preserve">Vincze, Enikő (2019). Ghettoization. The production of marginal spaces of housing and the reproduction of racialized labour. In E.Vincze et al. (eds.) </w:t>
      </w:r>
      <w:r w:rsidRPr="4B96F792" w:rsidR="6C9D0185">
        <w:rPr>
          <w:rFonts w:ascii="Cambria" w:hAnsi="Cambria" w:eastAsia="Cambria" w:cs="Cambria"/>
          <w:i w:val="1"/>
          <w:iCs w:val="1"/>
          <w:noProof w:val="0"/>
          <w:sz w:val="20"/>
          <w:szCs w:val="20"/>
          <w:lang w:val="ro"/>
        </w:rPr>
        <w:t>Racialized labour in Romania,</w:t>
      </w:r>
      <w:r w:rsidRPr="4B96F792" w:rsidR="6C9D0185">
        <w:rPr>
          <w:rFonts w:ascii="Cambria" w:hAnsi="Cambria" w:eastAsia="Cambria" w:cs="Cambria"/>
          <w:noProof w:val="0"/>
          <w:sz w:val="20"/>
          <w:szCs w:val="20"/>
          <w:lang w:val="ro"/>
        </w:rPr>
        <w:t xml:space="preserve"> Palgrave MacMillan, pp. 63-96.</w:t>
      </w:r>
    </w:p>
    <w:p w:rsidR="6C9D0185" w:rsidP="4B96F792" w:rsidRDefault="6C9D0185" w14:paraId="3EB9D818" w14:textId="24374BF0">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Waquant, Loic (2000). Logics of urban polarization. A view from below. In R. Crompton et al. (eds.). </w:t>
      </w:r>
      <w:r w:rsidRPr="4B96F792" w:rsidR="6C9D0185">
        <w:rPr>
          <w:rFonts w:ascii="Cambria" w:hAnsi="Cambria" w:eastAsia="Cambria" w:cs="Cambria"/>
          <w:i w:val="1"/>
          <w:iCs w:val="1"/>
          <w:noProof w:val="0"/>
          <w:color w:val="000000" w:themeColor="text1" w:themeTint="FF" w:themeShade="FF"/>
          <w:sz w:val="20"/>
          <w:szCs w:val="20"/>
          <w:lang w:val="ro"/>
        </w:rPr>
        <w:t xml:space="preserve">Renewing class analysis, </w:t>
      </w:r>
      <w:r w:rsidRPr="4B96F792" w:rsidR="6C9D0185">
        <w:rPr>
          <w:rFonts w:ascii="Cambria" w:hAnsi="Cambria" w:eastAsia="Cambria" w:cs="Cambria"/>
          <w:noProof w:val="0"/>
          <w:color w:val="000000" w:themeColor="text1" w:themeTint="FF" w:themeShade="FF"/>
          <w:sz w:val="20"/>
          <w:szCs w:val="20"/>
          <w:lang w:val="ro"/>
        </w:rPr>
        <w:t>Oxford: Blackwell, pp. 106-112.</w:t>
      </w:r>
    </w:p>
    <w:p w:rsidR="6C9D0185" w:rsidP="4B96F792" w:rsidRDefault="6C9D0185" w14:paraId="2256209A" w14:textId="464C56A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 xml:space="preserve">Weber, M. Class, Status, and Party, in </w:t>
      </w:r>
      <w:r w:rsidRPr="4B96F792" w:rsidR="6C9D0185">
        <w:rPr>
          <w:rFonts w:ascii="Cambria" w:hAnsi="Cambria" w:eastAsia="Cambria" w:cs="Cambria"/>
          <w:i w:val="1"/>
          <w:iCs w:val="1"/>
          <w:noProof w:val="0"/>
          <w:color w:val="000000" w:themeColor="text1" w:themeTint="FF" w:themeShade="FF"/>
          <w:sz w:val="20"/>
          <w:szCs w:val="20"/>
          <w:lang w:val="ro"/>
        </w:rPr>
        <w:t>Economy and Society</w:t>
      </w:r>
      <w:r w:rsidRPr="4B96F792" w:rsidR="6C9D0185">
        <w:rPr>
          <w:rFonts w:ascii="Cambria" w:hAnsi="Cambria" w:eastAsia="Cambria" w:cs="Cambria"/>
          <w:noProof w:val="0"/>
          <w:color w:val="000000" w:themeColor="text1" w:themeTint="FF" w:themeShade="FF"/>
          <w:sz w:val="20"/>
          <w:szCs w:val="20"/>
          <w:lang w:val="ro"/>
        </w:rPr>
        <w:t xml:space="preserve"> (trans. by H.H. Gerth &amp; C. Wright Mills)</w:t>
      </w:r>
    </w:p>
    <w:p w:rsidR="6C9D0185" w:rsidP="4B96F792" w:rsidRDefault="6C9D0185" w14:paraId="3C563AC2" w14:textId="51177E58">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4B96F792" w:rsidR="6C9D0185">
        <w:rPr>
          <w:rFonts w:ascii="Cambria" w:hAnsi="Cambria" w:eastAsia="Cambria" w:cs="Cambria"/>
          <w:noProof w:val="0"/>
          <w:color w:val="000000" w:themeColor="text1" w:themeTint="FF" w:themeShade="FF"/>
          <w:sz w:val="20"/>
          <w:szCs w:val="20"/>
          <w:lang w:val="ro"/>
        </w:rPr>
        <w:t>Wright, Erik Olin (2000): The Shadow of Exploitation in Weber’s Class Analysis. Conference presentation</w:t>
      </w:r>
    </w:p>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4B96F792" w14:paraId="697653B0" w14:textId="77777777">
        <w:trPr>
          <w:trHeight w:val="2869"/>
        </w:trPr>
        <w:tc>
          <w:tcPr>
            <w:tcW w:w="10491" w:type="dxa"/>
            <w:tcMar/>
          </w:tcPr>
          <w:p w:rsidRPr="002E4459" w:rsidR="0084568F" w:rsidP="4B96F792" w:rsidRDefault="0084568F" w14:paraId="2B940AFD" w14:textId="01C79833">
            <w:pPr>
              <w:spacing w:before="120" w:after="0" w:line="240" w:lineRule="auto"/>
              <w:ind w:left="0" w:hanging="0"/>
              <w:rPr>
                <w:rFonts w:ascii="Cambria" w:hAnsi="Cambria" w:eastAsia="Cambria" w:cs="Cambria"/>
                <w:noProof w:val="0"/>
                <w:sz w:val="20"/>
                <w:szCs w:val="20"/>
                <w:lang w:val="ro-RO"/>
              </w:rPr>
            </w:pPr>
            <w:r w:rsidRPr="4B96F792" w:rsidR="4A7C266B">
              <w:rPr>
                <w:rFonts w:ascii="Cambria" w:hAnsi="Cambria" w:eastAsia="Cambria" w:cs="Cambria"/>
                <w:noProof w:val="0"/>
                <w:color w:val="000000" w:themeColor="text1" w:themeTint="FF" w:themeShade="FF"/>
                <w:sz w:val="20"/>
                <w:szCs w:val="20"/>
                <w:lang w:val="ro"/>
              </w:rPr>
              <w:t>Disciplina oferă cunoștințe și competențe pentru studierea inegalităților de clasă, relevante în special pentru profesioniștii relațiilor de muncă, tranziției școală-muncă, promovării egalității de șanse în educație etc.</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sidRPr="4B96F792" w:rsidR="0084568F">
        <w:rPr>
          <w:rFonts w:ascii="Cambria" w:hAnsi="Cambria"/>
          <w:b w:val="1"/>
          <w:bCs w:val="1"/>
          <w:sz w:val="20"/>
          <w:szCs w:val="20"/>
        </w:rPr>
        <w:t>10</w:t>
      </w:r>
      <w:r w:rsidRPr="4B96F792" w:rsidR="0084568F">
        <w:rPr>
          <w:rFonts w:ascii="Cambria" w:hAnsi="Cambria"/>
          <w:b w:val="1"/>
          <w:bCs w:val="1"/>
          <w:sz w:val="20"/>
          <w:szCs w:val="20"/>
        </w:rPr>
        <w:t xml:space="preserve">. </w:t>
      </w:r>
      <w:r w:rsidRPr="4B96F792" w:rsidR="0084568F">
        <w:rPr>
          <w:rFonts w:ascii="Cambria" w:hAnsi="Cambria"/>
          <w:b w:val="1"/>
          <w:bCs w:val="1"/>
          <w:sz w:val="20"/>
          <w:szCs w:val="20"/>
        </w:rPr>
        <w:t>Evaluare</w:t>
      </w:r>
    </w:p>
    <w:tbl>
      <w:tblPr>
        <w:tblStyle w:val="TabelNormal"/>
        <w:bidiVisual w:val="0"/>
        <w:tblW w:w="0" w:type="auto"/>
        <w:tblLayout w:type="fixed"/>
        <w:tblLook w:val="01E0" w:firstRow="1" w:lastRow="1" w:firstColumn="1" w:lastColumn="1" w:noHBand="0" w:noVBand="0"/>
      </w:tblPr>
      <w:tblGrid>
        <w:gridCol w:w="1555"/>
        <w:gridCol w:w="3825"/>
        <w:gridCol w:w="2922"/>
        <w:gridCol w:w="2171"/>
      </w:tblGrid>
      <w:tr w:rsidR="4B96F792" w:rsidTr="39C5B69B" w14:paraId="009A16D1">
        <w:trPr>
          <w:trHeight w:val="300"/>
        </w:trPr>
        <w:tc>
          <w:tcPr>
            <w:tcW w:w="1555" w:type="dxa"/>
            <w:tcBorders>
              <w:top w:val="single" w:sz="8"/>
              <w:left w:val="single" w:sz="8"/>
              <w:bottom w:val="single" w:sz="8"/>
              <w:right w:val="single" w:sz="8"/>
            </w:tcBorders>
            <w:tcMar>
              <w:left w:w="108" w:type="dxa"/>
              <w:right w:w="108" w:type="dxa"/>
            </w:tcMar>
            <w:vAlign w:val="top"/>
          </w:tcPr>
          <w:p w:rsidR="4B96F792" w:rsidP="4B96F792" w:rsidRDefault="4B96F792" w14:paraId="3FB44208" w14:textId="4D3C3098">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Tip activitate</w:t>
            </w:r>
          </w:p>
        </w:tc>
        <w:tc>
          <w:tcPr>
            <w:tcW w:w="3825" w:type="dxa"/>
            <w:tcBorders>
              <w:top w:val="single" w:sz="8"/>
              <w:left w:val="single" w:sz="8"/>
              <w:bottom w:val="single" w:sz="8"/>
              <w:right w:val="single" w:sz="8"/>
            </w:tcBorders>
            <w:tcMar>
              <w:left w:w="108" w:type="dxa"/>
              <w:right w:w="108" w:type="dxa"/>
            </w:tcMar>
            <w:vAlign w:val="top"/>
          </w:tcPr>
          <w:p w:rsidR="4B96F792" w:rsidP="4B96F792" w:rsidRDefault="4B96F792" w14:paraId="715DC035" w14:textId="6A66D4AF">
            <w:pPr>
              <w:spacing w:before="0" w:beforeAutospacing="off" w:after="0" w:afterAutospacing="off" w:line="276" w:lineRule="auto"/>
              <w:ind w:left="46" w:right="-154"/>
            </w:pPr>
            <w:r w:rsidRPr="4B96F792" w:rsidR="4B96F792">
              <w:rPr>
                <w:rFonts w:ascii="Cambria" w:hAnsi="Cambria" w:eastAsia="Cambria" w:cs="Cambria"/>
                <w:b w:val="1"/>
                <w:bCs w:val="1"/>
                <w:color w:val="000000" w:themeColor="text1" w:themeTint="FF" w:themeShade="FF"/>
                <w:sz w:val="20"/>
                <w:szCs w:val="20"/>
                <w:lang w:val="ro"/>
              </w:rPr>
              <w:t>10.1 Criterii de evaluare</w:t>
            </w:r>
          </w:p>
        </w:tc>
        <w:tc>
          <w:tcPr>
            <w:tcW w:w="2922" w:type="dxa"/>
            <w:tcBorders>
              <w:top w:val="single" w:sz="8"/>
              <w:left w:val="single" w:sz="8"/>
              <w:bottom w:val="single" w:sz="8"/>
              <w:right w:val="single" w:sz="8"/>
            </w:tcBorders>
            <w:tcMar>
              <w:left w:w="108" w:type="dxa"/>
              <w:right w:w="108" w:type="dxa"/>
            </w:tcMar>
            <w:vAlign w:val="top"/>
          </w:tcPr>
          <w:p w:rsidR="4B96F792" w:rsidP="4B96F792" w:rsidRDefault="4B96F792" w14:paraId="448247AF" w14:textId="092AF5F0">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10.2 Metode de evaluare</w:t>
            </w:r>
          </w:p>
        </w:tc>
        <w:tc>
          <w:tcPr>
            <w:tcW w:w="2171" w:type="dxa"/>
            <w:tcBorders>
              <w:top w:val="single" w:sz="8"/>
              <w:left w:val="single" w:sz="8"/>
              <w:bottom w:val="single" w:sz="8"/>
              <w:right w:val="single" w:sz="8"/>
            </w:tcBorders>
            <w:tcMar>
              <w:left w:w="108" w:type="dxa"/>
              <w:right w:w="108" w:type="dxa"/>
            </w:tcMar>
            <w:vAlign w:val="top"/>
          </w:tcPr>
          <w:p w:rsidR="4B96F792" w:rsidP="4B96F792" w:rsidRDefault="4B96F792" w14:paraId="22EDFE92" w14:textId="215634D4">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10.3 Pondere din nota finală</w:t>
            </w:r>
          </w:p>
        </w:tc>
      </w:tr>
      <w:tr w:rsidR="4B96F792" w:rsidTr="39C5B69B" w14:paraId="3F68591D">
        <w:trPr>
          <w:trHeight w:val="555"/>
        </w:trPr>
        <w:tc>
          <w:tcPr>
            <w:tcW w:w="1555" w:type="dxa"/>
            <w:tcBorders>
              <w:top w:val="single" w:sz="8"/>
              <w:left w:val="single" w:sz="8"/>
              <w:bottom w:val="single" w:sz="8"/>
              <w:right w:val="single" w:sz="8"/>
            </w:tcBorders>
            <w:tcMar>
              <w:left w:w="108" w:type="dxa"/>
              <w:right w:w="108" w:type="dxa"/>
            </w:tcMar>
            <w:vAlign w:val="top"/>
          </w:tcPr>
          <w:p w:rsidR="4B96F792" w:rsidP="4B96F792" w:rsidRDefault="4B96F792" w14:paraId="1575742B" w14:textId="035127EA">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10.4 Curs</w:t>
            </w:r>
          </w:p>
        </w:tc>
        <w:tc>
          <w:tcPr>
            <w:tcW w:w="3825" w:type="dxa"/>
            <w:tcBorders>
              <w:top w:val="single" w:sz="8"/>
              <w:left w:val="single" w:sz="8"/>
              <w:bottom w:val="single" w:sz="8"/>
              <w:right w:val="single" w:sz="8"/>
            </w:tcBorders>
            <w:tcMar>
              <w:left w:w="108" w:type="dxa"/>
              <w:right w:w="108" w:type="dxa"/>
            </w:tcMar>
            <w:vAlign w:val="top"/>
          </w:tcPr>
          <w:p w:rsidR="39C5B69B" w:rsidP="39C5B69B" w:rsidRDefault="39C5B69B" w14:paraId="29195AD8" w14:textId="08821245">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Însușirea conceptelor, abordărilor teoretice și metodologice în studiul stratificării sociale. </w:t>
            </w:r>
          </w:p>
          <w:p w:rsidR="39C5B69B" w:rsidP="39C5B69B" w:rsidRDefault="39C5B69B" w14:paraId="1B8622CA" w14:textId="5558EF0F">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39C5B69B" w:rsidP="39C5B69B" w:rsidRDefault="39C5B69B" w14:paraId="29F5E88D" w14:textId="2C643AD4">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Participarea activă la cursuri oferă punctaj bonus. </w:t>
            </w:r>
          </w:p>
          <w:p w:rsidR="39C5B69B" w:rsidP="39C5B69B" w:rsidRDefault="39C5B69B" w14:paraId="168717AE" w14:textId="787AD3BD">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5F78DAA8" w14:textId="39C73AB6">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731E4C8A" w14:textId="338340B0">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116311A2" w14:textId="7C0BFDE2">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Participarea la prelegeri online în lb. engleză organizate în cadrul rețelei universitare </w:t>
            </w:r>
            <w:r w:rsidRPr="39C5B69B" w:rsidR="39C5B69B">
              <w:rPr>
                <w:rFonts w:ascii="Cambria" w:hAnsi="Cambria" w:eastAsia="Cambria" w:cs="Cambria"/>
                <w:b w:val="1"/>
                <w:bCs w:val="1"/>
                <w:i w:val="0"/>
                <w:iCs w:val="0"/>
                <w:caps w:val="0"/>
                <w:smallCaps w:val="0"/>
                <w:color w:val="000000" w:themeColor="text1" w:themeTint="FF" w:themeShade="FF"/>
                <w:sz w:val="20"/>
                <w:szCs w:val="20"/>
                <w:lang w:val="ro"/>
              </w:rPr>
              <w:t xml:space="preserve">Eutopia </w:t>
            </w: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pe tema </w:t>
            </w:r>
            <w:r w:rsidRPr="39C5B69B" w:rsidR="39C5B69B">
              <w:rPr>
                <w:rFonts w:ascii="Cambria" w:hAnsi="Cambria" w:eastAsia="Cambria" w:cs="Cambria"/>
                <w:b w:val="0"/>
                <w:bCs w:val="0"/>
                <w:i w:val="1"/>
                <w:iCs w:val="1"/>
                <w:caps w:val="0"/>
                <w:smallCaps w:val="0"/>
                <w:color w:val="000000" w:themeColor="text1" w:themeTint="FF" w:themeShade="FF"/>
                <w:sz w:val="20"/>
                <w:szCs w:val="20"/>
                <w:lang w:val="ro"/>
              </w:rPr>
              <w:t>Inequalities in contemporary societies</w:t>
            </w:r>
          </w:p>
        </w:tc>
        <w:tc>
          <w:tcPr>
            <w:tcW w:w="2922" w:type="dxa"/>
            <w:tcBorders>
              <w:top w:val="single" w:sz="8"/>
              <w:left w:val="single" w:sz="8"/>
              <w:bottom w:val="single" w:sz="8"/>
              <w:right w:val="single" w:sz="8"/>
            </w:tcBorders>
            <w:tcMar>
              <w:left w:w="108" w:type="dxa"/>
              <w:right w:w="108" w:type="dxa"/>
            </w:tcMar>
            <w:vAlign w:val="top"/>
          </w:tcPr>
          <w:p w:rsidR="39C5B69B" w:rsidP="39C5B69B" w:rsidRDefault="39C5B69B" w14:paraId="6C5C062C" w14:textId="4A39D3F9">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Examen scris: </w:t>
            </w:r>
          </w:p>
          <w:p w:rsidR="39C5B69B" w:rsidP="39C5B69B" w:rsidRDefault="39C5B69B" w14:paraId="61B7D0D9" w14:textId="78A1E1F1">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test grilă on-line</w:t>
            </w:r>
          </w:p>
          <w:p w:rsidR="39C5B69B" w:rsidP="39C5B69B" w:rsidRDefault="39C5B69B" w14:paraId="32A556BD" w14:textId="61879ABC">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39C5B69B" w:rsidP="39C5B69B" w:rsidRDefault="39C5B69B" w14:paraId="69CC57C7" w14:textId="2F61B615">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39C5B69B" w:rsidP="39C5B69B" w:rsidRDefault="39C5B69B" w14:paraId="6E0CA394" w14:textId="56C9D97E">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Răspuns online în sala de clasă la întrebările deschise formulate la sfârșitul fiecărui curs (0.10p/ răspuns, max. 1p)</w:t>
            </w:r>
          </w:p>
          <w:p w:rsidR="39C5B69B" w:rsidP="39C5B69B" w:rsidRDefault="39C5B69B" w14:paraId="230D0E80" w14:textId="2EFC0CD3">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30ABCAC2" w14:textId="6A69DF0A">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Participarea online, redactarea și transmiterea unui scurt </w:t>
            </w:r>
            <w:r w:rsidRPr="39C5B69B" w:rsidR="39C5B69B">
              <w:rPr>
                <w:rFonts w:ascii="Cambria" w:hAnsi="Cambria" w:eastAsia="Cambria" w:cs="Cambria"/>
                <w:b w:val="0"/>
                <w:bCs w:val="0"/>
                <w:i w:val="1"/>
                <w:iCs w:val="1"/>
                <w:caps w:val="0"/>
                <w:smallCaps w:val="0"/>
                <w:color w:val="000000" w:themeColor="text1" w:themeTint="FF" w:themeShade="FF"/>
                <w:sz w:val="20"/>
                <w:szCs w:val="20"/>
                <w:lang w:val="ro"/>
              </w:rPr>
              <w:t xml:space="preserve">reaction paper </w:t>
            </w: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la prelegerea Eutopia pe MS Teams, în termen de 48 de ore</w:t>
            </w:r>
          </w:p>
        </w:tc>
        <w:tc>
          <w:tcPr>
            <w:tcW w:w="2171" w:type="dxa"/>
            <w:tcBorders>
              <w:top w:val="single" w:sz="8"/>
              <w:left w:val="single" w:sz="8"/>
              <w:bottom w:val="single" w:sz="8"/>
              <w:right w:val="single" w:sz="8"/>
            </w:tcBorders>
            <w:tcMar>
              <w:left w:w="108" w:type="dxa"/>
              <w:right w:w="108" w:type="dxa"/>
            </w:tcMar>
            <w:vAlign w:val="top"/>
          </w:tcPr>
          <w:p w:rsidR="39C5B69B" w:rsidP="39C5B69B" w:rsidRDefault="39C5B69B" w14:paraId="5341B1F4" w14:textId="50B1F964">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60%</w:t>
            </w:r>
          </w:p>
          <w:p w:rsidR="39C5B69B" w:rsidP="39C5B69B" w:rsidRDefault="39C5B69B" w14:paraId="13B080D0" w14:textId="693FD0CF">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39C5B69B" w:rsidP="39C5B69B" w:rsidRDefault="39C5B69B" w14:paraId="309BBD9A" w14:textId="2D4B54B7">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39C5B69B" w:rsidP="39C5B69B" w:rsidRDefault="39C5B69B" w14:paraId="4FE1D4B8" w14:textId="2143BC06">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39C5B69B" w:rsidP="39C5B69B" w:rsidRDefault="39C5B69B" w14:paraId="49F8FF0B" w14:textId="3FC09ACC">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Bonus de max 1p la punctajul final</w:t>
            </w:r>
          </w:p>
          <w:p w:rsidR="39C5B69B" w:rsidP="39C5B69B" w:rsidRDefault="39C5B69B" w14:paraId="625BD29B" w14:textId="63D5CC11">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3535A5E0" w14:textId="77F56F8B">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15EE43C7" w14:textId="512C2156">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39C5B69B" w:rsidP="39C5B69B" w:rsidRDefault="39C5B69B" w14:paraId="4C746217" w14:textId="2B12EE1A">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r w:rsidRPr="39C5B69B" w:rsidR="39C5B69B">
              <w:rPr>
                <w:rFonts w:ascii="Cambria" w:hAnsi="Cambria" w:eastAsia="Cambria" w:cs="Cambria"/>
                <w:b w:val="0"/>
                <w:bCs w:val="0"/>
                <w:i w:val="0"/>
                <w:iCs w:val="0"/>
                <w:caps w:val="0"/>
                <w:smallCaps w:val="0"/>
                <w:color w:val="000000" w:themeColor="text1" w:themeTint="FF" w:themeShade="FF"/>
                <w:sz w:val="20"/>
                <w:szCs w:val="20"/>
                <w:lang w:val="ro"/>
              </w:rPr>
              <w:t>Bonus de 0.25p/ participare &amp; reaction paper prelegere Eutopia</w:t>
            </w:r>
          </w:p>
        </w:tc>
      </w:tr>
      <w:tr w:rsidR="4B96F792" w:rsidTr="39C5B69B" w14:paraId="17B87B51">
        <w:trPr>
          <w:trHeight w:val="555"/>
        </w:trPr>
        <w:tc>
          <w:tcPr>
            <w:tcW w:w="1555" w:type="dxa"/>
            <w:tcBorders>
              <w:top w:val="single" w:sz="8"/>
              <w:left w:val="single" w:sz="8"/>
              <w:bottom w:val="single" w:sz="8"/>
              <w:right w:val="single" w:sz="8"/>
            </w:tcBorders>
            <w:tcMar>
              <w:left w:w="108" w:type="dxa"/>
              <w:right w:w="108" w:type="dxa"/>
            </w:tcMar>
            <w:vAlign w:val="top"/>
          </w:tcPr>
          <w:p w:rsidR="4B96F792" w:rsidP="4B96F792" w:rsidRDefault="4B96F792" w14:paraId="7740E43D" w14:textId="0A448B46">
            <w:pPr>
              <w:spacing w:before="0" w:beforeAutospacing="off" w:after="0" w:afterAutospacing="off" w:line="276" w:lineRule="auto"/>
              <w:ind w:left="0" w:right="-150"/>
            </w:pPr>
            <w:r w:rsidRPr="4B96F792" w:rsidR="4B96F792">
              <w:rPr>
                <w:rFonts w:ascii="Cambria" w:hAnsi="Cambria" w:eastAsia="Cambria" w:cs="Cambria"/>
                <w:b w:val="1"/>
                <w:bCs w:val="1"/>
                <w:color w:val="000000" w:themeColor="text1" w:themeTint="FF" w:themeShade="FF"/>
                <w:sz w:val="20"/>
                <w:szCs w:val="20"/>
                <w:lang w:val="ro"/>
              </w:rPr>
              <w:t>10.5 Seminar/ laborator</w:t>
            </w:r>
          </w:p>
        </w:tc>
        <w:tc>
          <w:tcPr>
            <w:tcW w:w="3825" w:type="dxa"/>
            <w:tcBorders>
              <w:top w:val="single" w:sz="8"/>
              <w:left w:val="single" w:sz="8"/>
              <w:bottom w:val="single" w:sz="8"/>
              <w:right w:val="single" w:sz="8"/>
            </w:tcBorders>
            <w:tcMar>
              <w:left w:w="108" w:type="dxa"/>
              <w:right w:w="108" w:type="dxa"/>
            </w:tcMar>
            <w:vAlign w:val="top"/>
          </w:tcPr>
          <w:p w:rsidR="4B96F792" w:rsidP="4B96F792" w:rsidRDefault="4B96F792" w14:paraId="2E70A2FB" w14:textId="1D160B28">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(a) Participarea activă la seminarii prin prezentarea temelor redactate individual pe baza lecturii textelor obligatorii;</w:t>
            </w:r>
          </w:p>
          <w:p w:rsidR="4B96F792" w:rsidP="4B96F792" w:rsidRDefault="4B96F792" w14:paraId="1D74EDAE" w14:textId="712F7AA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4C73C1CE" w14:textId="1BDA7977">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(b) Aplicarea conceptelor, abordărilor teoretice și metodologice în studiul stratificării sociale și mobilității sociale pentru realizarea unei cercetări pilot calitative sau cantitative într-o echipă de 2-3 studenți. Ghidul cercetării pilot și baremul de evaluare vor fi comunicate anterior datei de 15 octombrie. </w:t>
            </w:r>
          </w:p>
          <w:p w:rsidR="4B96F792" w:rsidP="4B96F792" w:rsidRDefault="4B96F792" w14:paraId="44F450A2" w14:textId="50839E8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5258E54A" w14:textId="47D24AA3">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(c) Studenții care din motive obiective nu au putut realiza cercetarea pilot, pot compensa prin elaborarea unor răspunsuri la întrebări deschise din tematica disciplinei, pe baza lecturilor de seminar, în cadrul examenului scris din sesiune/restanță/lichidări. Pentru această evaluare vor beneficia de 30 de minute în plus. </w:t>
            </w:r>
          </w:p>
          <w:p w:rsidR="4B96F792" w:rsidP="4B96F792" w:rsidRDefault="4B96F792" w14:paraId="3730C671" w14:textId="13E51C40">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c>
          <w:tcPr>
            <w:tcW w:w="2922" w:type="dxa"/>
            <w:tcBorders>
              <w:top w:val="single" w:sz="8"/>
              <w:left w:val="single" w:sz="8"/>
              <w:bottom w:val="single" w:sz="8"/>
              <w:right w:val="single" w:sz="8"/>
            </w:tcBorders>
            <w:tcMar>
              <w:left w:w="108" w:type="dxa"/>
              <w:right w:w="108" w:type="dxa"/>
            </w:tcMar>
            <w:vAlign w:val="top"/>
          </w:tcPr>
          <w:p w:rsidR="4B96F792" w:rsidP="39C5B69B" w:rsidRDefault="4B96F792" w14:paraId="04B1DF2A" w14:textId="04A4B5D4">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39C5B69B" w:rsidR="0F09EA33">
              <w:rPr>
                <w:rFonts w:ascii="Cambria" w:hAnsi="Cambria" w:eastAsia="Cambria" w:cs="Cambria"/>
                <w:color w:val="000000" w:themeColor="text1" w:themeTint="FF" w:themeShade="FF"/>
                <w:sz w:val="20"/>
                <w:szCs w:val="20"/>
                <w:lang w:val="ro"/>
              </w:rPr>
              <w:t>(a)</w:t>
            </w:r>
            <w:r w:rsidRPr="39C5B69B" w:rsidR="4B96F792">
              <w:rPr>
                <w:rFonts w:ascii="Cambria" w:hAnsi="Cambria" w:eastAsia="Cambria" w:cs="Cambria"/>
                <w:color w:val="000000" w:themeColor="text1" w:themeTint="FF" w:themeShade="FF"/>
                <w:sz w:val="20"/>
                <w:szCs w:val="20"/>
                <w:lang w:val="ro"/>
              </w:rPr>
              <w:t xml:space="preserve">Teme de seminar redactate individual, trimise pe MS Teams și prezentate oral la seminar: 0.25p/temă; sunt necesare 8 teme pentru punctajul maxim de 2p; temele în plus constituie puncte bonus. </w:t>
            </w:r>
          </w:p>
          <w:p w:rsidR="4B96F792" w:rsidP="39C5B69B" w:rsidRDefault="4B96F792" w14:paraId="7A746F40" w14:textId="30A43F7C">
            <w:pPr>
              <w:spacing w:before="0" w:beforeAutospacing="off" w:after="0" w:afterAutospacing="off" w:line="276" w:lineRule="auto"/>
              <w:ind w:left="0" w:right="0"/>
            </w:pPr>
            <w:r w:rsidRPr="39C5B69B" w:rsidR="4B96F792">
              <w:rPr>
                <w:rFonts w:ascii="Cambria" w:hAnsi="Cambria" w:eastAsia="Cambria" w:cs="Cambria"/>
                <w:color w:val="000000" w:themeColor="text1" w:themeTint="FF" w:themeShade="FF"/>
                <w:sz w:val="20"/>
                <w:szCs w:val="20"/>
                <w:lang w:val="ro"/>
              </w:rPr>
              <w:t xml:space="preserve"> </w:t>
            </w:r>
          </w:p>
          <w:p w:rsidR="4B96F792" w:rsidP="39C5B69B" w:rsidRDefault="4B96F792" w14:paraId="22D7E04F" w14:textId="5BA74778">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39C5B69B" w:rsidR="42B15391">
              <w:rPr>
                <w:rFonts w:ascii="Cambria" w:hAnsi="Cambria" w:eastAsia="Cambria" w:cs="Cambria"/>
                <w:color w:val="000000" w:themeColor="text1" w:themeTint="FF" w:themeShade="FF"/>
                <w:sz w:val="20"/>
                <w:szCs w:val="20"/>
                <w:lang w:val="ro"/>
              </w:rPr>
              <w:t>(b)</w:t>
            </w:r>
            <w:r w:rsidRPr="39C5B69B" w:rsidR="4B96F792">
              <w:rPr>
                <w:rFonts w:ascii="Cambria" w:hAnsi="Cambria" w:eastAsia="Cambria" w:cs="Cambria"/>
                <w:color w:val="000000" w:themeColor="text1" w:themeTint="FF" w:themeShade="FF"/>
                <w:sz w:val="20"/>
                <w:szCs w:val="20"/>
                <w:lang w:val="ro"/>
              </w:rPr>
              <w:t xml:space="preserve">Cercetare pilot prezentată în colocviile de seminar de la sfârșitul semestrului (2p). </w:t>
            </w:r>
          </w:p>
          <w:p w:rsidR="4B96F792" w:rsidP="39C5B69B" w:rsidRDefault="4B96F792" w14:paraId="2BA7E81D" w14:textId="1C57AF2E">
            <w:pPr>
              <w:spacing w:before="0" w:beforeAutospacing="off" w:after="0" w:afterAutospacing="off" w:line="276" w:lineRule="auto"/>
              <w:ind w:left="0" w:right="0"/>
            </w:pPr>
            <w:r w:rsidRPr="39C5B69B" w:rsidR="4B96F792">
              <w:rPr>
                <w:rFonts w:ascii="Cambria" w:hAnsi="Cambria" w:eastAsia="Cambria" w:cs="Cambria"/>
                <w:color w:val="000000" w:themeColor="text1" w:themeTint="FF" w:themeShade="FF"/>
                <w:sz w:val="20"/>
                <w:szCs w:val="20"/>
                <w:lang w:val="ro"/>
              </w:rPr>
              <w:t>SAU:</w:t>
            </w:r>
          </w:p>
          <w:p w:rsidR="4B96F792" w:rsidP="39C5B69B" w:rsidRDefault="4B96F792" w14:paraId="6FDD8036" w14:textId="0FE5B999">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39C5B69B" w:rsidR="5B0FBDE3">
              <w:rPr>
                <w:rFonts w:ascii="Cambria" w:hAnsi="Cambria" w:eastAsia="Cambria" w:cs="Cambria"/>
                <w:color w:val="000000" w:themeColor="text1" w:themeTint="FF" w:themeShade="FF"/>
                <w:sz w:val="20"/>
                <w:szCs w:val="20"/>
                <w:lang w:val="ro"/>
              </w:rPr>
              <w:t>(c)</w:t>
            </w:r>
            <w:r w:rsidRPr="39C5B69B" w:rsidR="4B96F792">
              <w:rPr>
                <w:rFonts w:ascii="Cambria" w:hAnsi="Cambria" w:eastAsia="Cambria" w:cs="Cambria"/>
                <w:color w:val="000000" w:themeColor="text1" w:themeTint="FF" w:themeShade="FF"/>
                <w:sz w:val="20"/>
                <w:szCs w:val="20"/>
                <w:lang w:val="ro"/>
              </w:rPr>
              <w:t>Elaborarea în scris a răspunsurilor la întrebările deschise din tematica disciplinei, pe baza lecturilor de seminar, la examenul scris din sesiune/restanță/lichidări (2p).</w:t>
            </w:r>
          </w:p>
          <w:p w:rsidR="4B96F792" w:rsidP="39C5B69B" w:rsidRDefault="4B96F792" w14:paraId="004F0370" w14:textId="6A09FED7">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39C5B69B" w:rsidR="4B96F792">
              <w:rPr>
                <w:rFonts w:ascii="Cambria" w:hAnsi="Cambria" w:eastAsia="Cambria" w:cs="Cambria"/>
                <w:color w:val="000000" w:themeColor="text1" w:themeTint="FF" w:themeShade="FF"/>
                <w:sz w:val="20"/>
                <w:szCs w:val="20"/>
                <w:lang w:val="ro"/>
              </w:rPr>
              <w:t xml:space="preserve">Evaluarea (c) este valabilă doar pentru studenții care nu au putut realiza cercetarea pilot din motive obiective (boală, probleme personale grave). </w:t>
            </w:r>
          </w:p>
        </w:tc>
        <w:tc>
          <w:tcPr>
            <w:tcW w:w="2171" w:type="dxa"/>
            <w:tcBorders>
              <w:top w:val="single" w:sz="8"/>
              <w:left w:val="single" w:sz="8"/>
              <w:bottom w:val="single" w:sz="8"/>
              <w:right w:val="single" w:sz="8"/>
            </w:tcBorders>
            <w:tcMar>
              <w:left w:w="108" w:type="dxa"/>
              <w:right w:w="108" w:type="dxa"/>
            </w:tcMar>
            <w:vAlign w:val="top"/>
          </w:tcPr>
          <w:p w:rsidR="4B96F792" w:rsidP="4B96F792" w:rsidRDefault="4B96F792" w14:paraId="5E5D606D" w14:textId="0D90A774">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40% - din care:</w:t>
            </w:r>
          </w:p>
          <w:p w:rsidR="4B96F792" w:rsidP="4B96F792" w:rsidRDefault="4B96F792" w14:paraId="4EFFEBA8" w14:textId="0E9F69F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1E2193FD" w14:textId="12E61E2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- 20% teme de seminar (a)</w:t>
            </w:r>
          </w:p>
          <w:p w:rsidR="4B96F792" w:rsidP="4B96F792" w:rsidRDefault="4B96F792" w14:paraId="6970AEC9" w14:textId="51C98510">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Temele constituie evaluare pe parcurs și punctajul lor nu poate fi compensat prin alte activități. </w:t>
            </w:r>
          </w:p>
          <w:p w:rsidR="4B96F792" w:rsidP="4B96F792" w:rsidRDefault="4B96F792" w14:paraId="24188A14" w14:textId="3D3060BD">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12FE6AFA" w14:textId="3739013D">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- 20% cercetare pilot (b)</w:t>
            </w:r>
          </w:p>
          <w:p w:rsidR="4B96F792" w:rsidP="4B96F792" w:rsidRDefault="4B96F792" w14:paraId="020B90FD" w14:textId="6AA0BB0A">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3A18A9C2" w14:textId="14F152E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În cazul în care din motive obiective cercetarea pilot nu a putut fi realizată, 20% din notă va putea fi obținut prin răspunsul la întrebări deschise în cadrul examenului scris din sesiune/ restanță/ lichidări (c)</w:t>
            </w:r>
          </w:p>
          <w:p w:rsidR="4B96F792" w:rsidP="4B96F792" w:rsidRDefault="4B96F792" w14:paraId="1328D031" w14:textId="7A4901C2">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0C2FAC60" w14:textId="34291958">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p w:rsidR="4B96F792" w:rsidP="4B96F792" w:rsidRDefault="4B96F792" w14:paraId="752A4CB9" w14:textId="3C3784BA">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 </w:t>
            </w:r>
          </w:p>
        </w:tc>
      </w:tr>
      <w:tr w:rsidR="4B96F792" w:rsidTr="39C5B69B" w14:paraId="3FD21D2E">
        <w:trPr>
          <w:trHeight w:val="300"/>
        </w:trPr>
        <w:tc>
          <w:tcPr>
            <w:tcW w:w="10473" w:type="dxa"/>
            <w:gridSpan w:val="4"/>
            <w:tcBorders>
              <w:top w:val="single" w:sz="8"/>
              <w:left w:val="single" w:sz="8"/>
              <w:bottom w:val="single" w:sz="8"/>
              <w:right w:val="single" w:sz="8"/>
            </w:tcBorders>
            <w:tcMar>
              <w:left w:w="108" w:type="dxa"/>
              <w:right w:w="108" w:type="dxa"/>
            </w:tcMar>
            <w:vAlign w:val="top"/>
          </w:tcPr>
          <w:p w:rsidR="4B96F792" w:rsidP="4B96F792" w:rsidRDefault="4B96F792" w14:paraId="41B847BB" w14:textId="1B1F6904">
            <w:pPr>
              <w:spacing w:before="0" w:beforeAutospacing="off" w:after="0" w:afterAutospacing="off" w:line="276" w:lineRule="auto"/>
            </w:pPr>
            <w:r w:rsidRPr="4B96F792" w:rsidR="4B96F792">
              <w:rPr>
                <w:rFonts w:ascii="Cambria" w:hAnsi="Cambria" w:eastAsia="Cambria" w:cs="Cambria"/>
                <w:b w:val="1"/>
                <w:bCs w:val="1"/>
                <w:color w:val="000000" w:themeColor="text1" w:themeTint="FF" w:themeShade="FF"/>
                <w:sz w:val="20"/>
                <w:szCs w:val="20"/>
                <w:lang w:val="ro"/>
              </w:rPr>
              <w:t xml:space="preserve">10.6 Standard minim de performanţă: </w:t>
            </w:r>
          </w:p>
          <w:p w:rsidR="4B96F792" w:rsidP="4B96F792" w:rsidRDefault="4B96F792" w14:paraId="502B73F7" w14:textId="5D42837E">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Punctaj de minim 5p la testul grilă din sesiune.</w:t>
            </w:r>
          </w:p>
          <w:p w:rsidR="4B96F792" w:rsidP="4B96F792" w:rsidRDefault="4B96F792" w14:paraId="50A52E96" w14:textId="3C6B28FF">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Punctaj total ponderat de minim 5p (60% examen scris și 40% activitate seminar).</w:t>
            </w:r>
          </w:p>
          <w:p w:rsidR="4B96F792" w:rsidP="4B96F792" w:rsidRDefault="4B96F792" w14:paraId="2EE64225" w14:textId="4D1692EB">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 xml:space="preserve">Bonus-ul obținut pentru participarea la cursuri se adăugă la puctajul total final, cu condiția promovării testului grilă (examen scris). </w:t>
            </w:r>
          </w:p>
          <w:p w:rsidR="4B96F792" w:rsidP="4B96F792" w:rsidRDefault="4B96F792" w14:paraId="0D5D09B5" w14:textId="605BEF01">
            <w:pPr>
              <w:spacing w:before="0" w:beforeAutospacing="off" w:after="0" w:afterAutospacing="off" w:line="276" w:lineRule="auto"/>
            </w:pPr>
            <w:r w:rsidRPr="4B96F792" w:rsidR="4B96F792">
              <w:rPr>
                <w:rFonts w:ascii="Cambria" w:hAnsi="Cambria" w:eastAsia="Cambria" w:cs="Cambria"/>
                <w:color w:val="000000" w:themeColor="text1" w:themeTint="FF" w:themeShade="FF"/>
                <w:sz w:val="20"/>
                <w:szCs w:val="20"/>
                <w:lang w:val="ro"/>
              </w:rPr>
              <w:t>În sesiunea de restanță și de lichidări, modalitatea de evaluare se păstrează identic celei din sesiunea inițială.</w:t>
            </w:r>
          </w:p>
        </w:tc>
      </w:tr>
    </w:tbl>
    <w:p w:rsidR="4B96F792" w:rsidP="4B96F792" w:rsidRDefault="4B96F792" w14:paraId="182DEABD" w14:textId="1B3CA0AF">
      <w:pPr>
        <w:spacing w:after="0"/>
        <w:ind w:hanging="425"/>
        <w:rPr>
          <w:rFonts w:ascii="Cambria" w:hAnsi="Cambria"/>
          <w:b w:val="1"/>
          <w:bCs w:val="1"/>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Referinnotdesubsol"/>
          <w:rFonts w:ascii="Cambria" w:hAnsi="Cambria"/>
          <w:b/>
          <w:sz w:val="20"/>
          <w:szCs w:val="20"/>
        </w:rPr>
        <w:footnoteReference w:id="1"/>
      </w:r>
    </w:p>
    <w:tbl>
      <w:tblPr>
        <w:tblStyle w:val="Tabelgril"/>
        <w:tblW w:w="10490" w:type="dxa"/>
        <w:tblInd w:w="-431" w:type="dxa"/>
        <w:tblLayout w:type="fixed"/>
        <w:tblLook w:val="04A0" w:firstRow="1" w:lastRow="0" w:firstColumn="1" w:lastColumn="0" w:noHBand="0" w:noVBand="1"/>
      </w:tblPr>
      <w:tblGrid>
        <w:gridCol w:w="1170"/>
        <w:gridCol w:w="1166"/>
        <w:gridCol w:w="1162"/>
        <w:gridCol w:w="1165"/>
        <w:gridCol w:w="1162"/>
        <w:gridCol w:w="1167"/>
        <w:gridCol w:w="1162"/>
        <w:gridCol w:w="1170"/>
        <w:gridCol w:w="1166"/>
      </w:tblGrid>
      <w:tr w:rsidRPr="00E027F6" w:rsidR="00CB66F3" w:rsidTr="4B96F792" w14:paraId="11B37CCE" w14:textId="77777777">
        <w:trPr>
          <w:trHeight w:val="1050"/>
        </w:trPr>
        <w:tc>
          <w:tcPr>
            <w:tcW w:w="1170" w:type="dxa"/>
            <w:tcMar/>
            <w:vAlign w:val="center"/>
          </w:tcPr>
          <w:p w:rsidRPr="00E027F6" w:rsidR="00CB66F3" w:rsidP="00373CCF" w:rsidRDefault="00CB66F3" w14:paraId="029BE597" w14:textId="13114AA2">
            <w:pPr>
              <w:rPr>
                <w:rFonts w:ascii="Cambria" w:hAnsi="Cambria"/>
              </w:rPr>
            </w:pPr>
            <w:r w:rsidR="58A3EC49">
              <w:drawing>
                <wp:inline wp14:editId="301894D6" wp14:anchorId="2D60A8E9">
                  <wp:extent cx="615950" cy="611505"/>
                  <wp:effectExtent l="0" t="0" r="0" b="0"/>
                  <wp:docPr id="1674678095" name="Imagine 2">
                    <a:extLst>
                      <a:ext uri="{FF2B5EF4-FFF2-40B4-BE49-F238E27FC236}">
                        <a16:creationId xmlns:a16="http://schemas.microsoft.com/office/drawing/2014/main" id="{80C9297E-97F2-4B92-97BB-C9283A69BCF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inline>
              </w:drawing>
            </w:r>
          </w:p>
        </w:tc>
        <w:tc>
          <w:tcPr>
            <w:tcW w:w="9320"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4B96F792" w14:paraId="3DEFB65F" w14:textId="77777777">
        <w:trPr>
          <w:trHeight w:val="1124"/>
        </w:trPr>
        <w:tc>
          <w:tcPr>
            <w:tcW w:w="1170" w:type="dxa"/>
            <w:tcMar/>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tcMar/>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2" w:type="dxa"/>
            <w:tcMar/>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2" w:type="dxa"/>
            <w:tcMar/>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7" w:type="dxa"/>
            <w:tcMar/>
            <w:vAlign w:val="center"/>
          </w:tcPr>
          <w:p w:rsidRPr="00E027F6" w:rsidR="001253AA" w:rsidP="00373CCF" w:rsidRDefault="001253AA" w14:paraId="7A69A711" w14:textId="16EC4799">
            <w:pPr>
              <w:rPr>
                <w:rFonts w:ascii="Cambria" w:hAnsi="Cambria"/>
              </w:rPr>
            </w:pPr>
            <w:r w:rsidR="1172ABD3">
              <w:drawing>
                <wp:inline wp14:editId="596FF215" wp14:anchorId="6D56242E">
                  <wp:extent cx="587375" cy="611505"/>
                  <wp:effectExtent l="0" t="0" r="3175" b="0"/>
                  <wp:docPr id="454695097" name="Imagine 18" descr="O imagine care conține text, Font, captură de ecran, siglă&#10;&#10;Descriere generată automat">
                    <a:extLst>
                      <a:ext uri="{FF2B5EF4-FFF2-40B4-BE49-F238E27FC236}">
                        <a16:creationId xmlns:a16="http://schemas.microsoft.com/office/drawing/2014/main" id="{3268694F-BBD6-8A1C-E512-542540F1938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2" w:type="dxa"/>
            <w:tcMar/>
            <w:vAlign w:val="center"/>
          </w:tcPr>
          <w:p w:rsidRPr="00E027F6" w:rsidR="001253AA" w:rsidP="00373CCF" w:rsidRDefault="001253AA" w14:paraId="423B32E2" w14:textId="111279EE">
            <w:pPr>
              <w:rPr>
                <w:rFonts w:ascii="Cambria" w:hAnsi="Cambria"/>
              </w:rPr>
            </w:pPr>
            <w:r w:rsidR="1172ABD3">
              <w:drawing>
                <wp:inline wp14:editId="2F24B290" wp14:anchorId="72244F3C">
                  <wp:extent cx="599440" cy="611505"/>
                  <wp:effectExtent l="0" t="0" r="0" b="0"/>
                  <wp:docPr id="846463044"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70" w:type="dxa"/>
            <w:tcMar/>
            <w:vAlign w:val="center"/>
          </w:tcPr>
          <w:p w:rsidRPr="00E027F6" w:rsidR="001253AA" w:rsidP="00373CCF" w:rsidRDefault="001253AA" w14:paraId="741BDDBE" w14:textId="2D602B80">
            <w:pPr>
              <w:rPr>
                <w:rFonts w:ascii="Cambria" w:hAnsi="Cambria"/>
              </w:rPr>
            </w:pPr>
            <w:r w:rsidR="1172ABD3">
              <w:drawing>
                <wp:inline wp14:editId="34ED90B9" wp14:anchorId="1B149C2A">
                  <wp:extent cx="613410" cy="611505"/>
                  <wp:effectExtent l="0" t="0" r="0" b="0"/>
                  <wp:docPr id="1612985435" name="Imagine 32" descr="O imagine care conține pasăre, text, proiectare&#10;&#10;Descriere generată automat">
                    <a:extLst>
                      <a:ext uri="{FF2B5EF4-FFF2-40B4-BE49-F238E27FC236}">
                        <a16:creationId xmlns:a16="http://schemas.microsoft.com/office/drawing/2014/main" id="{CDDB3B99-E05B-3C8E-3E22-3D8B4498D75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xmlns:r="http://schemas.openxmlformats.org/officeDocument/2006/relationships"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tcMar/>
            <w:vAlign w:val="center"/>
          </w:tcPr>
          <w:p w:rsidRPr="00E027F6" w:rsidR="001253AA" w:rsidP="00373CCF" w:rsidRDefault="00370DF5" w14:paraId="6C16B376" w14:textId="392D8FB3">
            <w:pPr/>
          </w:p>
        </w:tc>
      </w:tr>
    </w:tbl>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39C5B69B"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42E0D23">
            <w:pPr>
              <w:rPr>
                <w:rFonts w:ascii="Cambria" w:hAnsi="Cambria"/>
              </w:rPr>
            </w:pP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4B96F792" w:rsidR="29064777">
              <w:rPr>
                <w:rFonts w:ascii="Cambria" w:hAnsi="Cambria"/>
              </w:rPr>
              <w:t>Semnătura titularului de curs</w:t>
            </w:r>
          </w:p>
          <w:p w:rsidRPr="003C197C" w:rsidR="003C197C" w:rsidP="00C0333B" w:rsidRDefault="003C197C" w14:paraId="0F5C8287" w14:textId="73A016D7">
            <w:pPr>
              <w:spacing w:line="480" w:lineRule="auto"/>
            </w:pPr>
            <w:r w:rsidR="46CA6BBE">
              <w:drawing>
                <wp:inline wp14:editId="42A98A92" wp14:anchorId="1365CEE5">
                  <wp:extent cx="472989" cy="337849"/>
                  <wp:effectExtent l="0" t="0" r="0" b="0"/>
                  <wp:docPr id="2203679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0367953" name=""/>
                          <pic:cNvPicPr/>
                        </pic:nvPicPr>
                        <pic:blipFill>
                          <a:blip xmlns:r="http://schemas.openxmlformats.org/officeDocument/2006/relationships" r:embed="rId2072999802">
                            <a:extLst>
                              <a:ext uri="{28A0092B-C50C-407E-A947-70E740481C1C}">
                                <a14:useLocalDpi xmlns:a14="http://schemas.microsoft.com/office/drawing/2010/main"/>
                              </a:ext>
                            </a:extLst>
                          </a:blip>
                          <a:stretch>
                            <a:fillRect/>
                          </a:stretch>
                        </pic:blipFill>
                        <pic:spPr>
                          <a:xfrm rot="0">
                            <a:off x="0" y="0"/>
                            <a:ext cx="472989" cy="337849"/>
                          </a:xfrm>
                          <a:prstGeom prst="rect">
                            <a:avLst/>
                          </a:prstGeom>
                        </pic:spPr>
                      </pic:pic>
                    </a:graphicData>
                  </a:graphic>
                </wp:inline>
              </w:drawing>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4B96F792" w:rsidR="29064777">
              <w:rPr>
                <w:rFonts w:ascii="Cambria" w:hAnsi="Cambria"/>
              </w:rPr>
              <w:t>Semnătura titularului de seminar</w:t>
            </w:r>
          </w:p>
          <w:p w:rsidR="7A810F65" w:rsidP="39C5B69B" w:rsidRDefault="7A810F65" w14:paraId="1BB87311" w14:textId="44B8BE80">
            <w:pPr>
              <w:spacing w:line="480" w:lineRule="auto"/>
            </w:pPr>
            <w:r w:rsidR="7A810F65">
              <w:drawing>
                <wp:inline wp14:editId="601D8FAA" wp14:anchorId="5665E7F3">
                  <wp:extent cx="540559" cy="386113"/>
                  <wp:effectExtent l="0" t="0" r="0" b="0"/>
                  <wp:docPr id="17972450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7245024" name=""/>
                          <pic:cNvPicPr/>
                        </pic:nvPicPr>
                        <pic:blipFill>
                          <a:blip xmlns:r="http://schemas.openxmlformats.org/officeDocument/2006/relationships" r:embed="rId1713699304">
                            <a:extLst>
                              <a:ext uri="{28A0092B-C50C-407E-A947-70E740481C1C}">
                                <a14:useLocalDpi xmlns:a14="http://schemas.microsoft.com/office/drawing/2010/main"/>
                              </a:ext>
                            </a:extLst>
                          </a:blip>
                          <a:stretch>
                            <a:fillRect/>
                          </a:stretch>
                        </pic:blipFill>
                        <pic:spPr>
                          <a:xfrm rot="0">
                            <a:off x="0" y="0"/>
                            <a:ext cx="540559" cy="386113"/>
                          </a:xfrm>
                          <a:prstGeom prst="rect">
                            <a:avLst/>
                          </a:prstGeom>
                        </pic:spPr>
                      </pic:pic>
                    </a:graphicData>
                  </a:graphic>
                </wp:inline>
              </w:drawing>
            </w:r>
            <w:r w:rsidR="0D27B14C">
              <w:drawing>
                <wp:inline wp14:editId="2B9E97ED" wp14:anchorId="7DA34A83">
                  <wp:extent cx="469433" cy="420660"/>
                  <wp:effectExtent l="0" t="0" r="0" b="0"/>
                  <wp:docPr id="8025132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2513245" name=""/>
                          <pic:cNvPicPr/>
                        </pic:nvPicPr>
                        <pic:blipFill>
                          <a:blip xmlns:r="http://schemas.openxmlformats.org/officeDocument/2006/relationships" r:embed="rId160464879">
                            <a:extLst>
                              <a:ext xmlns:a="http://schemas.openxmlformats.org/drawingml/2006/main" uri="{28A0092B-C50C-407E-A947-70E740481C1C}">
                                <a14:useLocalDpi xmlns:a14="http://schemas.microsoft.com/office/drawing/2010/main" val="0"/>
                              </a:ext>
                            </a:extLst>
                          </a:blip>
                          <a:stretch>
                            <a:fillRect/>
                          </a:stretch>
                        </pic:blipFill>
                        <pic:spPr>
                          <a:xfrm>
                            <a:off x="0" y="0"/>
                            <a:ext cx="469433" cy="420660"/>
                          </a:xfrm>
                          <a:prstGeom prst="rect">
                            <a:avLst/>
                          </a:prstGeom>
                        </pic:spPr>
                      </pic:pic>
                    </a:graphicData>
                  </a:graphic>
                </wp:inline>
              </w:drawing>
            </w:r>
          </w:p>
          <w:p w:rsidRPr="003C197C" w:rsidR="00C0333B" w:rsidP="00C0333B" w:rsidRDefault="00C0333B" w14:paraId="34043C9C" w14:textId="77777777">
            <w:pPr>
              <w:spacing w:line="480" w:lineRule="auto"/>
              <w:rPr>
                <w:rFonts w:ascii="Cambria" w:hAnsi="Cambria"/>
              </w:rPr>
            </w:pPr>
          </w:p>
        </w:tc>
      </w:tr>
      <w:tr w:rsidRPr="003C197C" w:rsidR="006B6ABF" w:rsidTr="39C5B69B"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926" w:rsidP="00D12BC3" w:rsidRDefault="00111926" w14:paraId="5FA5218A" w14:textId="77777777">
      <w:pPr>
        <w:spacing w:after="0" w:line="240" w:lineRule="auto"/>
      </w:pPr>
      <w:r>
        <w:separator/>
      </w:r>
    </w:p>
  </w:endnote>
  <w:endnote w:type="continuationSeparator" w:id="0">
    <w:p w:rsidR="00111926" w:rsidP="00D12BC3" w:rsidRDefault="00111926" w14:paraId="1256EB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926" w:rsidP="00D12BC3" w:rsidRDefault="00111926" w14:paraId="77E63976" w14:textId="77777777">
      <w:pPr>
        <w:spacing w:after="0" w:line="240" w:lineRule="auto"/>
      </w:pPr>
      <w:r>
        <w:separator/>
      </w:r>
    </w:p>
  </w:footnote>
  <w:footnote w:type="continuationSeparator" w:id="0">
    <w:p w:rsidR="00111926" w:rsidP="00D12BC3" w:rsidRDefault="00111926" w14:paraId="27AD655A"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5f3b697c"/>
    <w:multiLevelType xmlns:w="http://schemas.openxmlformats.org/wordprocessingml/2006/main" w:val="hybridMultilevel"/>
    <w:lvl xmlns:w="http://schemas.openxmlformats.org/wordprocessingml/2006/main" w:ilvl="0">
      <w:start w:val="1"/>
      <w:numFmt w:val="decimal"/>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058dd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1EB6"/>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D27B14C"/>
    <w:rsid w:val="0F09EA33"/>
    <w:rsid w:val="1172ABD3"/>
    <w:rsid w:val="14D3EA4A"/>
    <w:rsid w:val="16058428"/>
    <w:rsid w:val="1A095624"/>
    <w:rsid w:val="1ACB4451"/>
    <w:rsid w:val="1B30EC72"/>
    <w:rsid w:val="1B30EC72"/>
    <w:rsid w:val="1C0C0033"/>
    <w:rsid w:val="20A11E2A"/>
    <w:rsid w:val="20A11E2A"/>
    <w:rsid w:val="21C6582E"/>
    <w:rsid w:val="23881A63"/>
    <w:rsid w:val="29064777"/>
    <w:rsid w:val="2A8C082C"/>
    <w:rsid w:val="2B174069"/>
    <w:rsid w:val="2EA98CAE"/>
    <w:rsid w:val="39C5B69B"/>
    <w:rsid w:val="3BB3F0E3"/>
    <w:rsid w:val="3FEFA3E4"/>
    <w:rsid w:val="42B15391"/>
    <w:rsid w:val="46CA6BBE"/>
    <w:rsid w:val="4A7C266B"/>
    <w:rsid w:val="4B96F792"/>
    <w:rsid w:val="532281FB"/>
    <w:rsid w:val="58A3EC49"/>
    <w:rsid w:val="597D8456"/>
    <w:rsid w:val="5B0FBDE3"/>
    <w:rsid w:val="5B82E338"/>
    <w:rsid w:val="5E310457"/>
    <w:rsid w:val="5E73A60F"/>
    <w:rsid w:val="6C641A9E"/>
    <w:rsid w:val="6C884E65"/>
    <w:rsid w:val="6C9D0185"/>
    <w:rsid w:val="786C6DC4"/>
    <w:rsid w:val="7917FC7B"/>
    <w:rsid w:val="7989443A"/>
    <w:rsid w:val="7A810F65"/>
    <w:rsid w:val="7FD0C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arxists.org/" TargetMode="External" Id="R7b401cf2e6b04ffd" /><Relationship Type="http://schemas.openxmlformats.org/officeDocument/2006/relationships/hyperlink" Target="https://www.marxists.org/" TargetMode="External" Id="R731de27563f44f98" /><Relationship Type="http://schemas.openxmlformats.org/officeDocument/2006/relationships/hyperlink" Target="http://journals.openedition.org/rccsar/585" TargetMode="External" Id="R64b7b11e4ed548ba" /><Relationship Type="http://schemas.openxmlformats.org/officeDocument/2006/relationships/hyperlink" Target="http://www.marxists.org/" TargetMode="External" Id="Re8b78616d2d942bd" /><Relationship Type="http://schemas.openxmlformats.org/officeDocument/2006/relationships/hyperlink" Target="http://journals.openedition.org/rccsar/585" TargetMode="External" Id="Rde7f987acd344ffb" /><Relationship Type="http://schemas.openxmlformats.org/officeDocument/2006/relationships/image" Target="/media/image11.png" Id="rId2072999802" /><Relationship Type="http://schemas.openxmlformats.org/officeDocument/2006/relationships/image" Target="/media/image12.png" Id="rId1713699304" /><Relationship Type="http://schemas.openxmlformats.org/officeDocument/2006/relationships/image" Target="/media/imageb.png" Id="rId16046487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Cristina Rat</lastModifiedBy>
  <revision>15</revision>
  <dcterms:created xsi:type="dcterms:W3CDTF">2025-07-30T11:18:00.0000000Z</dcterms:created>
  <dcterms:modified xsi:type="dcterms:W3CDTF">2025-09-15T10:12:28.6700451Z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