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664C83" w:rsidR="00123B64" w:rsidP="00FB5485" w:rsidRDefault="00664C83" w14:paraId="73B2268A" w14:textId="7772D9F0">
      <w:pPr>
        <w:jc w:val="center"/>
        <w:rPr>
          <w:rFonts w:ascii="Cambria" w:hAnsi="Cambria"/>
          <w:i/>
          <w:iCs/>
        </w:rPr>
      </w:pPr>
      <w:r>
        <w:rPr>
          <w:rFonts w:ascii="Cambria" w:hAnsi="Cambria"/>
          <w:i/>
          <w:iCs/>
        </w:rPr>
        <w:t>Sociologie Urbană</w:t>
      </w:r>
    </w:p>
    <w:p w:rsidRPr="00664C83" w:rsidR="00123B64" w:rsidP="00FB5485" w:rsidRDefault="00123B64" w14:paraId="147D6DE1" w14:textId="6DFE44FE">
      <w:pPr>
        <w:jc w:val="center"/>
        <w:rPr>
          <w:rFonts w:ascii="Cambria" w:hAnsi="Cambria"/>
        </w:rPr>
      </w:pPr>
      <w:r w:rsidRPr="7AA0038C">
        <w:rPr>
          <w:rFonts w:ascii="Cambria" w:hAnsi="Cambria"/>
        </w:rPr>
        <w:t>Anul universitar</w:t>
      </w:r>
      <w:r w:rsidRPr="7AA0038C" w:rsidR="00632190">
        <w:rPr>
          <w:rFonts w:ascii="Cambria" w:hAnsi="Cambria"/>
        </w:rPr>
        <w:t xml:space="preserve"> </w:t>
      </w:r>
      <w:r w:rsidRPr="7AA0038C" w:rsidR="00AE5FC2">
        <w:rPr>
          <w:rFonts w:ascii="Cambria" w:hAnsi="Cambria"/>
        </w:rPr>
        <w:t>202</w:t>
      </w:r>
      <w:r w:rsidRPr="7AA0038C" w:rsidR="02D3A8B0">
        <w:rPr>
          <w:rFonts w:ascii="Cambria" w:hAnsi="Cambria"/>
        </w:rPr>
        <w:t>5</w:t>
      </w:r>
      <w:r w:rsidRPr="7AA0038C" w:rsidR="00AE5FC2">
        <w:rPr>
          <w:rFonts w:ascii="Cambria" w:hAnsi="Cambria"/>
        </w:rPr>
        <w:t xml:space="preserve"> - 202</w:t>
      </w:r>
      <w:r w:rsidRPr="7AA0038C" w:rsidR="60D2FCC9">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D34861" w14:paraId="2025CE64" w14:textId="0E884303">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3F5FB0">
              <w:rPr>
                <w:rFonts w:ascii="Cambria" w:hAnsi="Cambria" w:eastAsia="Times New Roman" w:cs="Times New Roman"/>
                <w:kern w:val="0"/>
                <w:sz w:val="20"/>
                <w:szCs w:val="22"/>
                <w:lang w:eastAsia="zh-CN"/>
                <w14:ligatures w14:val="none"/>
              </w:rPr>
              <w:t>, Antropologie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00820A4F"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C0333B" w:rsidRDefault="00664C83" w14:paraId="56BB9F54" w14:textId="59C2F9CE">
            <w:pPr>
              <w:pStyle w:val="Default"/>
              <w:rPr>
                <w:sz w:val="20"/>
                <w:szCs w:val="20"/>
              </w:rPr>
            </w:pPr>
            <w:r>
              <w:rPr>
                <w:sz w:val="20"/>
                <w:szCs w:val="20"/>
              </w:rPr>
              <w:t>Sociologie Urbană</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C0333B" w:rsidR="008F5E28" w:rsidP="00C0333B" w:rsidRDefault="00C0333B" w14:paraId="7CA76DD1" w14:textId="6D2FBB92">
            <w:pPr>
              <w:pStyle w:val="Default"/>
              <w:rPr>
                <w:sz w:val="20"/>
                <w:szCs w:val="20"/>
              </w:rPr>
            </w:pPr>
            <w:r>
              <w:rPr>
                <w:sz w:val="20"/>
                <w:szCs w:val="20"/>
              </w:rPr>
              <w:t>ALR</w:t>
            </w:r>
            <w:r w:rsidR="00E54B8B">
              <w:rPr>
                <w:sz w:val="20"/>
                <w:szCs w:val="20"/>
              </w:rPr>
              <w:t>1</w:t>
            </w:r>
            <w:r w:rsidR="00664C83">
              <w:rPr>
                <w:sz w:val="20"/>
                <w:szCs w:val="20"/>
              </w:rPr>
              <w:t>501</w:t>
            </w:r>
          </w:p>
        </w:tc>
      </w:tr>
      <w:tr w:rsidRPr="00972DAD" w:rsidR="008F5E28" w:rsidTr="00820A4F" w14:paraId="7729D621" w14:textId="77777777">
        <w:trPr>
          <w:trHeight w:val="284"/>
        </w:trPr>
        <w:tc>
          <w:tcPr>
            <w:tcW w:w="3427" w:type="dxa"/>
            <w:gridSpan w:val="4"/>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vAlign w:val="center"/>
          </w:tcPr>
          <w:p w:rsidRPr="00972DAD" w:rsidR="008F5E28" w:rsidP="00C60F8E" w:rsidRDefault="00634B8E" w14:paraId="02F7CAC0" w14:textId="544464FB">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Norbert Petrovici</w:t>
            </w:r>
          </w:p>
        </w:tc>
      </w:tr>
      <w:tr w:rsidRPr="00972DAD" w:rsidR="008F5E28" w:rsidTr="00820A4F" w14:paraId="6941DE1C" w14:textId="77777777">
        <w:trPr>
          <w:trHeight w:val="284"/>
        </w:trPr>
        <w:tc>
          <w:tcPr>
            <w:tcW w:w="3427" w:type="dxa"/>
            <w:gridSpan w:val="4"/>
            <w:tcBorders>
              <w:bottom w:val="single" w:color="auto" w:sz="4" w:space="0"/>
            </w:tcBorders>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vAlign w:val="center"/>
          </w:tcPr>
          <w:p w:rsidRPr="00972DAD" w:rsidR="008F5E28" w:rsidP="00C60F8E" w:rsidRDefault="00634B8E" w14:paraId="341D75ED" w14:textId="76B0A6BE">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Vlad Bejinariu</w:t>
            </w:r>
          </w:p>
        </w:tc>
      </w:tr>
      <w:tr w:rsidRPr="00CB7D36" w:rsidR="007566DE" w:rsidTr="00E54B8B"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3C135D" w14:paraId="642D3A83" w14:textId="5C15660E">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r w:rsidR="00664C83">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64C83" w14:paraId="1CE49F94" w14:textId="5C3203E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CB7D36" w:rsidR="006016CF" w:rsidP="00C60F8E" w:rsidRDefault="00E54B8B" w14:paraId="20F79D8D" w14:textId="79DE314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64C83">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664C83"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680053" w14:paraId="1F6F3D9F" w14:textId="3BCD7A78">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w:t>
            </w:r>
            <w:r w:rsidR="00BD2AA4">
              <w:rPr>
                <w:rFonts w:ascii="Cambria" w:hAnsi="Cambria" w:eastAsia="Times New Roman" w:cs="Times New Roman"/>
                <w:sz w:val="20"/>
                <w:lang w:eastAsia="zh-CN"/>
              </w:rPr>
              <w:t>0</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BD2AA4" w14:paraId="18E004A9" w14:textId="603C4FAC">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C0333B" w14:paraId="6EABD8A3" w14:textId="46C81F47">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9</w:t>
            </w:r>
            <w:r w:rsidR="00BD2AA4">
              <w:rPr>
                <w:rFonts w:ascii="Cambria" w:hAnsi="Cambria" w:eastAsia="Times New Roman" w:cs="Times New Roman"/>
                <w:b/>
                <w:sz w:val="20"/>
                <w:lang w:eastAsia="zh-CN"/>
              </w:rPr>
              <w:t>4</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0743914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15</w:t>
            </w:r>
            <w:r w:rsidR="00462E8E">
              <w:rPr>
                <w:rFonts w:ascii="Cambria" w:hAnsi="Cambria" w:eastAsia="Times New Roman" w:cs="Times New Roman"/>
                <w:b/>
                <w:sz w:val="20"/>
                <w:lang w:eastAsia="zh-CN"/>
              </w:rPr>
              <w:t>0</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60231CC5" w14:paraId="691B4F18" w14:textId="77777777">
        <w:trPr>
          <w:cantSplit/>
          <w:trHeight w:val="2884"/>
        </w:trPr>
        <w:tc>
          <w:tcPr>
            <w:tcW w:w="852" w:type="dxa"/>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42875FFD">
            <w:pPr>
              <w:pStyle w:val="Default"/>
              <w:rPr>
                <w:sz w:val="20"/>
                <w:szCs w:val="20"/>
              </w:rPr>
            </w:pPr>
            <w:r>
              <w:rPr>
                <w:sz w:val="20"/>
                <w:szCs w:val="20"/>
              </w:rPr>
              <w:t>- Diagnoza problemelor sociale/ sociologice și analiza și aplicarea de politici publice şi sociale/ Utilizarea adecvată a perspectivei antropologice, a eticii şi practicii specifice disciplinei</w:t>
            </w:r>
          </w:p>
          <w:p w:rsidR="00796905" w:rsidP="00796905" w:rsidRDefault="00796905" w14:paraId="0A3A00D3" w14:textId="77777777">
            <w:pPr>
              <w:pStyle w:val="Default"/>
              <w:rPr>
                <w:sz w:val="20"/>
                <w:szCs w:val="20"/>
              </w:rPr>
            </w:pPr>
          </w:p>
          <w:p w:rsidR="00796905" w:rsidP="00796905" w:rsidRDefault="00796905" w14:paraId="6591684D" w14:textId="1824EA76">
            <w:pPr>
              <w:pStyle w:val="Default"/>
              <w:rPr>
                <w:sz w:val="20"/>
                <w:szCs w:val="20"/>
              </w:rPr>
            </w:pPr>
            <w:r>
              <w:rPr>
                <w:sz w:val="20"/>
                <w:szCs w:val="20"/>
              </w:rPr>
              <w:t xml:space="preserve">- Consiliere profesională şi de integrare / </w:t>
            </w:r>
            <w:r w:rsidRPr="00E85F67">
              <w:rPr>
                <w:sz w:val="20"/>
                <w:szCs w:val="20"/>
              </w:rPr>
              <w:t>Elaborarea studiilor antropologice</w:t>
            </w:r>
            <w:r>
              <w:rPr>
                <w:sz w:val="20"/>
                <w:szCs w:val="20"/>
              </w:rPr>
              <w:t xml:space="preserve"> /</w:t>
            </w:r>
          </w:p>
          <w:p w:rsidRPr="00A74D64" w:rsidR="00551CC4" w:rsidP="003F5FB0" w:rsidRDefault="00796905" w14:paraId="59C4AC85" w14:textId="667D7E2F">
            <w:pPr>
              <w:pStyle w:val="Default"/>
              <w:rPr>
                <w:rFonts w:ascii="Cambria" w:hAnsi="Cambria"/>
                <w:sz w:val="20"/>
                <w:szCs w:val="20"/>
              </w:rPr>
            </w:pPr>
            <w:r>
              <w:rPr>
                <w:sz w:val="20"/>
                <w:szCs w:val="20"/>
              </w:rPr>
              <w:t xml:space="preserve">- Identificarea, analiza (explicarea) şi soluţionarea de probleme şi conflicte sociale în organizaţii şi comunităţi / Culegerea şi prelucrarea de date etnografice / </w:t>
            </w:r>
          </w:p>
        </w:tc>
      </w:tr>
      <w:tr w:rsidRPr="0039068A" w:rsidR="00551CC4" w:rsidTr="60231CC5" w14:paraId="1F728DFD" w14:textId="77777777">
        <w:trPr>
          <w:cantSplit/>
          <w:trHeight w:val="1775"/>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14C5ED82">
            <w:pPr>
              <w:pStyle w:val="Default"/>
              <w:rPr>
                <w:sz w:val="20"/>
                <w:szCs w:val="20"/>
              </w:rPr>
            </w:pPr>
            <w:r>
              <w:rPr>
                <w:sz w:val="20"/>
                <w:szCs w:val="20"/>
              </w:rPr>
              <w:t xml:space="preserve">- Aplicarea tehnicilor de </w:t>
            </w:r>
            <w:r w:rsidR="00664C83">
              <w:rPr>
                <w:sz w:val="20"/>
                <w:szCs w:val="20"/>
              </w:rPr>
              <w:t>relaționare</w:t>
            </w:r>
            <w:r>
              <w:rPr>
                <w:sz w:val="20"/>
                <w:szCs w:val="20"/>
              </w:rPr>
              <w:t xml:space="preserve"> în grup a </w:t>
            </w:r>
            <w:r w:rsidR="00664C83">
              <w:rPr>
                <w:sz w:val="20"/>
                <w:szCs w:val="20"/>
              </w:rPr>
              <w:t>capacităților</w:t>
            </w:r>
            <w:r>
              <w:rPr>
                <w:sz w:val="20"/>
                <w:szCs w:val="20"/>
              </w:rPr>
              <w:t xml:space="preserve">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60231CC5" w:rsidRDefault="09D6D244" w14:paraId="16819AE0" w14:textId="247F52C7">
      <w:pPr>
        <w:spacing w:after="0"/>
        <w:ind w:hanging="425"/>
        <w:rPr>
          <w:rFonts w:ascii="Cambria" w:hAnsi="Cambria" w:eastAsia="Cambria" w:cs="Cambria"/>
          <w:color w:val="000000" w:themeColor="text1"/>
          <w:sz w:val="20"/>
          <w:szCs w:val="20"/>
        </w:rPr>
      </w:pPr>
      <w:r w:rsidRPr="60231CC5">
        <w:rPr>
          <w:rFonts w:ascii="Cambria" w:hAnsi="Cambria" w:eastAsia="Cambria" w:cs="Cambria"/>
          <w:b/>
          <w:bCs/>
          <w:color w:val="000000" w:themeColor="text1"/>
          <w:sz w:val="20"/>
          <w:szCs w:val="20"/>
        </w:rPr>
        <w:t>6.2. Rezultatele învățării</w:t>
      </w:r>
    </w:p>
    <w:tbl>
      <w:tblPr>
        <w:tblW w:w="0" w:type="auto"/>
        <w:tblInd w:w="-435" w:type="dxa"/>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1682"/>
        <w:gridCol w:w="8376"/>
      </w:tblGrid>
      <w:tr w:rsidR="60231CC5" w:rsidTr="60231CC5" w14:paraId="1B937E79" w14:textId="77777777">
        <w:trPr>
          <w:trHeight w:val="840"/>
        </w:trPr>
        <w:tc>
          <w:tcPr>
            <w:tcW w:w="825" w:type="dxa"/>
            <w:tcBorders>
              <w:top w:val="single" w:color="auto" w:sz="6" w:space="0"/>
              <w:left w:val="single" w:color="auto" w:sz="6" w:space="0"/>
              <w:bottom w:val="single" w:color="auto" w:sz="6" w:space="0"/>
              <w:right w:val="single" w:color="auto" w:sz="6" w:space="0"/>
            </w:tcBorders>
            <w:tcMar>
              <w:left w:w="90" w:type="dxa"/>
              <w:right w:w="90" w:type="dxa"/>
            </w:tcMar>
            <w:vAlign w:val="center"/>
          </w:tcPr>
          <w:p w:rsidR="60231CC5" w:rsidP="60231CC5" w:rsidRDefault="60231CC5" w14:paraId="106C8CB8" w14:textId="70224369">
            <w:pPr>
              <w:spacing w:after="0" w:line="240" w:lineRule="auto"/>
              <w:ind w:left="113" w:right="113"/>
              <w:jc w:val="center"/>
              <w:rPr>
                <w:rFonts w:ascii="Cambria" w:hAnsi="Cambria" w:eastAsia="Cambria" w:cs="Cambria"/>
                <w:color w:val="000000" w:themeColor="text1"/>
                <w:sz w:val="20"/>
                <w:szCs w:val="20"/>
              </w:rPr>
            </w:pPr>
            <w:r w:rsidRPr="60231CC5">
              <w:rPr>
                <w:rFonts w:ascii="Cambria" w:hAnsi="Cambria" w:eastAsia="Cambria" w:cs="Cambria"/>
                <w:b/>
                <w:bCs/>
                <w:color w:val="000000" w:themeColor="text1"/>
                <w:sz w:val="20"/>
                <w:szCs w:val="20"/>
              </w:rPr>
              <w:t>Cunoștințe</w:t>
            </w:r>
          </w:p>
        </w:tc>
        <w:tc>
          <w:tcPr>
            <w:tcW w:w="9630" w:type="dxa"/>
            <w:tcBorders>
              <w:top w:val="single" w:color="auto" w:sz="6" w:space="0"/>
              <w:left w:val="single" w:color="auto" w:sz="6" w:space="0"/>
              <w:bottom w:val="single" w:color="auto" w:sz="6" w:space="0"/>
              <w:right w:val="single" w:color="auto" w:sz="6" w:space="0"/>
            </w:tcBorders>
            <w:tcMar>
              <w:left w:w="90" w:type="dxa"/>
              <w:right w:w="90" w:type="dxa"/>
            </w:tcMar>
            <w:vAlign w:val="center"/>
          </w:tcPr>
          <w:p w:rsidR="2EBF4333" w:rsidP="60231CC5" w:rsidRDefault="2EBF4333" w14:paraId="0EBE9FAA" w14:textId="39E45662">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2EBF4333" w:rsidP="60231CC5" w:rsidRDefault="2EBF4333" w14:paraId="7640D6BC" w14:textId="21649402">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definește, clasifică și alege metodele, tehnicile și procedeele utilizate în cercetarea și soluționarea problemelor sociale. </w:t>
            </w:r>
          </w:p>
          <w:p w:rsidR="2EBF4333" w:rsidP="60231CC5" w:rsidRDefault="2EBF4333" w14:paraId="218B9440" w14:textId="749224B6">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elaborează și proiectează măsuri de intervenție, programe, strategii și politici sociale pe baza terminologiei, metodelor și paradigmelor specifice. </w:t>
            </w:r>
          </w:p>
          <w:p w:rsidR="2EBF4333" w:rsidP="60231CC5" w:rsidRDefault="2EBF4333" w14:paraId="51EF4840" w14:textId="04920BA2">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examinează, analizează, explică și interpretează curentele de opinie publică pe baza cercetărilor de teren. </w:t>
            </w:r>
          </w:p>
          <w:p w:rsidR="2EBF4333" w:rsidP="60231CC5" w:rsidRDefault="2EBF4333" w14:paraId="6178B46A" w14:textId="5F0F4066">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adaptează terminologia și strategiile de comunicare cu grupurile țintă, conform profilului categoriilor socio-profesionale vizate. </w:t>
            </w:r>
          </w:p>
          <w:p w:rsidR="2EBF4333" w:rsidP="60231CC5" w:rsidRDefault="2EBF4333" w14:paraId="14F32240" w14:textId="12BFD1AD">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2EBF4333" w:rsidP="60231CC5" w:rsidRDefault="2EBF4333" w14:paraId="79980152" w14:textId="5AEE472A">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explică și interpretează problemele și conflictele sociale/din cadrul organizațiilor și identifică resurse și modalități pentru rezolvarea acestora. </w:t>
            </w:r>
          </w:p>
          <w:p w:rsidR="2EBF4333" w:rsidP="60231CC5" w:rsidRDefault="2EBF4333" w14:paraId="54F79FCA" w14:textId="69876A87">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identifică nevoile specifice ale grupurilor țintă. </w:t>
            </w:r>
          </w:p>
          <w:p w:rsidR="2EBF4333" w:rsidP="60231CC5" w:rsidRDefault="2EBF4333" w14:paraId="3C965AC7" w14:textId="06371AB4">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 xml:space="preserve">Studentul/Absolventul înțelege și analizează structurile sociale, mecanismele de stratificare și inegalitățile sociale, precum și relația dintre structură socială și acțiune individuală. </w:t>
            </w:r>
          </w:p>
          <w:p w:rsidR="2EBF4333" w:rsidP="60231CC5" w:rsidRDefault="2EBF4333" w14:paraId="068FBA64" w14:textId="62D28E0B">
            <w:pPr>
              <w:pStyle w:val="ListParagraph"/>
              <w:numPr>
                <w:ilvl w:val="0"/>
                <w:numId w:val="1"/>
              </w:numPr>
              <w:spacing w:after="0"/>
              <w:rPr>
                <w:rFonts w:ascii="Times New Roman" w:hAnsi="Times New Roman" w:eastAsia="Times New Roman" w:cs="Times New Roman"/>
                <w:sz w:val="20"/>
                <w:szCs w:val="20"/>
              </w:rPr>
            </w:pPr>
            <w:r w:rsidRPr="60231CC5">
              <w:rPr>
                <w:rFonts w:ascii="Times New Roman" w:hAnsi="Times New Roman" w:eastAsia="Times New Roman" w:cs="Times New Roman"/>
                <w:sz w:val="20"/>
                <w:szCs w:val="20"/>
              </w:rPr>
              <w:t>Studentul/Absolventul cunoaște și analizează procesele de schimbare socială, modernizare, globalizare și transformare instituțională, în contexte naționale și internaționale.</w:t>
            </w:r>
          </w:p>
        </w:tc>
      </w:tr>
      <w:tr w:rsidR="60231CC5" w:rsidTr="60231CC5" w14:paraId="45A6AE61" w14:textId="77777777">
        <w:trPr>
          <w:trHeight w:val="1395"/>
        </w:trPr>
        <w:tc>
          <w:tcPr>
            <w:tcW w:w="825" w:type="dxa"/>
            <w:tcBorders>
              <w:top w:val="single" w:color="auto" w:sz="6" w:space="0"/>
              <w:left w:val="single" w:color="auto" w:sz="6" w:space="0"/>
              <w:bottom w:val="single" w:color="auto" w:sz="6" w:space="0"/>
              <w:right w:val="single" w:color="auto" w:sz="6" w:space="0"/>
            </w:tcBorders>
            <w:tcMar>
              <w:left w:w="90" w:type="dxa"/>
              <w:right w:w="90" w:type="dxa"/>
            </w:tcMar>
            <w:vAlign w:val="center"/>
          </w:tcPr>
          <w:p w:rsidR="60231CC5" w:rsidP="60231CC5" w:rsidRDefault="60231CC5" w14:paraId="5249A2BF" w14:textId="19C49FEE">
            <w:pPr>
              <w:spacing w:after="0" w:line="240" w:lineRule="auto"/>
              <w:ind w:left="113" w:right="113"/>
              <w:jc w:val="center"/>
              <w:rPr>
                <w:rFonts w:ascii="Cambria" w:hAnsi="Cambria" w:eastAsia="Cambria" w:cs="Cambria"/>
                <w:color w:val="000000" w:themeColor="text1"/>
                <w:sz w:val="20"/>
                <w:szCs w:val="20"/>
              </w:rPr>
            </w:pPr>
            <w:r w:rsidRPr="60231CC5">
              <w:rPr>
                <w:rFonts w:ascii="Cambria" w:hAnsi="Cambria" w:eastAsia="Cambria" w:cs="Cambria"/>
                <w:b/>
                <w:bCs/>
                <w:color w:val="000000" w:themeColor="text1"/>
                <w:sz w:val="20"/>
                <w:szCs w:val="20"/>
              </w:rPr>
              <w:t>Aptitudini</w:t>
            </w:r>
          </w:p>
        </w:tc>
        <w:tc>
          <w:tcPr>
            <w:tcW w:w="9630" w:type="dxa"/>
            <w:tcBorders>
              <w:top w:val="single" w:color="auto" w:sz="6" w:space="0"/>
              <w:left w:val="single" w:color="auto" w:sz="6" w:space="0"/>
              <w:bottom w:val="single" w:color="auto" w:sz="6" w:space="0"/>
              <w:right w:val="single" w:color="auto" w:sz="6" w:space="0"/>
            </w:tcBorders>
            <w:tcMar>
              <w:left w:w="90" w:type="dxa"/>
              <w:right w:w="90" w:type="dxa"/>
            </w:tcMar>
            <w:vAlign w:val="center"/>
          </w:tcPr>
          <w:p w:rsidR="54FE2113" w:rsidP="60231CC5" w:rsidRDefault="54FE2113" w14:paraId="6A4605F4" w14:textId="347DC600">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utilizează aplicații și programe informatice specializate pentru a rezolva probleme specifice administrării bazelor de date care conțin indicatori socioeconomici și culturali. </w:t>
            </w:r>
          </w:p>
          <w:p w:rsidR="54FE2113" w:rsidP="60231CC5" w:rsidRDefault="54FE2113" w14:paraId="4BF5CC25" w14:textId="2B660907">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identifică metode, tehnici, procedee și instrumente adecvate pentru cercetarea fenomenelor sociale și culegerea datelor empirice. </w:t>
            </w:r>
          </w:p>
          <w:p w:rsidR="54FE2113" w:rsidP="60231CC5" w:rsidRDefault="54FE2113" w14:paraId="41A4A513" w14:textId="27DCC43C">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lastRenderedPageBreak/>
              <w:t xml:space="preserve">Studentul/Absolventul dezvoltă și aplică strategii de rezolvare a conflictelor și problemelor sociale, identificând totodată modele pentru a prezice comportamentul uman. </w:t>
            </w:r>
          </w:p>
          <w:p w:rsidR="54FE2113" w:rsidP="60231CC5" w:rsidRDefault="54FE2113" w14:paraId="24213F8D" w14:textId="2623830A">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rsidR="54FE2113" w:rsidP="60231CC5" w:rsidRDefault="54FE2113" w14:paraId="608395FC" w14:textId="3AA8ECD2">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identifică particularitățile comunicării în context social, elaborează și implementează strategii de comunicare pentru grupuri, organizații și comunități. </w:t>
            </w:r>
          </w:p>
          <w:p w:rsidR="54FE2113" w:rsidP="60231CC5" w:rsidRDefault="54FE2113" w14:paraId="2D6F91FB" w14:textId="2C24D802">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elaborează, analizează și evaluează strategii și procese de comunicare socială în grupuri, comunități și organizații, inclusiv pentru evaluarea și formarea resurselor umane. </w:t>
            </w:r>
          </w:p>
          <w:p w:rsidR="54FE2113" w:rsidP="60231CC5" w:rsidRDefault="54FE2113" w14:paraId="615F3AF7" w14:textId="225009E5">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elaborează modele inovative de cercetare a fenomenelor și proceselor sociale în grupuri, organizații și comunități, prin utilizarea metodologiilor consacrate. </w:t>
            </w:r>
          </w:p>
          <w:p w:rsidR="54FE2113" w:rsidP="60231CC5" w:rsidRDefault="54FE2113" w14:paraId="536BF8A4" w14:textId="1B14A2A2">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setează și implementează diferite strategii metodologice de diagnoză privind dinamica socio-culturală. </w:t>
            </w:r>
          </w:p>
          <w:p w:rsidR="54FE2113" w:rsidP="60231CC5" w:rsidRDefault="54FE2113" w14:paraId="2F8F4F9E" w14:textId="4FD8CC1F">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elaborează proiecte și intervenții în comunitate sau în organizații care promovează implicarea socială și dezvoltarea sustenabilă, în conformitate cu nevoile identificate. </w:t>
            </w:r>
          </w:p>
          <w:p w:rsidR="54FE2113" w:rsidP="60231CC5" w:rsidRDefault="54FE2113" w14:paraId="780E8E92" w14:textId="0B940DF9">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Studentul/Absolventul creează și monitorizează programe de diversitate și incluziune pentru a asigura un mediu de lucru echitabil și reprezentativ.</w:t>
            </w:r>
          </w:p>
        </w:tc>
      </w:tr>
      <w:tr w:rsidR="60231CC5" w:rsidTr="60231CC5" w14:paraId="394CCFDF" w14:textId="77777777">
        <w:trPr>
          <w:trHeight w:val="1695"/>
        </w:trPr>
        <w:tc>
          <w:tcPr>
            <w:tcW w:w="825" w:type="dxa"/>
            <w:tcBorders>
              <w:top w:val="single" w:color="auto" w:sz="6" w:space="0"/>
              <w:left w:val="single" w:color="auto" w:sz="6" w:space="0"/>
              <w:bottom w:val="single" w:color="auto" w:sz="6" w:space="0"/>
              <w:right w:val="single" w:color="auto" w:sz="6" w:space="0"/>
            </w:tcBorders>
            <w:tcMar>
              <w:left w:w="90" w:type="dxa"/>
              <w:right w:w="90" w:type="dxa"/>
            </w:tcMar>
            <w:vAlign w:val="center"/>
          </w:tcPr>
          <w:p w:rsidR="60231CC5" w:rsidP="60231CC5" w:rsidRDefault="60231CC5" w14:paraId="27A03D13" w14:textId="54280938">
            <w:pPr>
              <w:spacing w:after="0" w:line="240" w:lineRule="auto"/>
              <w:jc w:val="center"/>
              <w:rPr>
                <w:rFonts w:ascii="Cambria" w:hAnsi="Cambria" w:eastAsia="Cambria" w:cs="Cambria"/>
                <w:color w:val="000000" w:themeColor="text1"/>
                <w:sz w:val="20"/>
                <w:szCs w:val="20"/>
              </w:rPr>
            </w:pPr>
          </w:p>
          <w:p w:rsidR="60231CC5" w:rsidP="60231CC5" w:rsidRDefault="60231CC5" w14:paraId="705E2F95" w14:textId="6C3F3A0E">
            <w:pPr>
              <w:spacing w:after="0" w:line="240" w:lineRule="auto"/>
              <w:jc w:val="center"/>
              <w:rPr>
                <w:rFonts w:ascii="Cambria" w:hAnsi="Cambria" w:eastAsia="Cambria" w:cs="Cambria"/>
                <w:color w:val="000000" w:themeColor="text1"/>
                <w:sz w:val="20"/>
                <w:szCs w:val="20"/>
              </w:rPr>
            </w:pPr>
          </w:p>
          <w:p w:rsidR="60231CC5" w:rsidP="60231CC5" w:rsidRDefault="60231CC5" w14:paraId="7E2CEFF1" w14:textId="32472C9E">
            <w:pPr>
              <w:spacing w:after="0" w:line="240" w:lineRule="auto"/>
              <w:jc w:val="center"/>
              <w:rPr>
                <w:rFonts w:ascii="Cambria" w:hAnsi="Cambria" w:eastAsia="Cambria" w:cs="Cambria"/>
                <w:color w:val="000000" w:themeColor="text1"/>
                <w:sz w:val="20"/>
                <w:szCs w:val="20"/>
              </w:rPr>
            </w:pPr>
            <w:r w:rsidRPr="60231CC5">
              <w:rPr>
                <w:rFonts w:ascii="Cambria" w:hAnsi="Cambria" w:eastAsia="Cambria" w:cs="Cambria"/>
                <w:b/>
                <w:bCs/>
                <w:color w:val="000000" w:themeColor="text1"/>
                <w:sz w:val="20"/>
                <w:szCs w:val="20"/>
              </w:rPr>
              <w:t>Responsabilități</w:t>
            </w:r>
          </w:p>
          <w:p w:rsidR="60231CC5" w:rsidP="60231CC5" w:rsidRDefault="60231CC5" w14:paraId="27613F97" w14:textId="47322267">
            <w:pPr>
              <w:spacing w:after="0" w:line="240" w:lineRule="auto"/>
              <w:jc w:val="center"/>
              <w:rPr>
                <w:rFonts w:ascii="Cambria" w:hAnsi="Cambria" w:eastAsia="Cambria" w:cs="Cambria"/>
                <w:color w:val="000000" w:themeColor="text1"/>
                <w:sz w:val="20"/>
                <w:szCs w:val="20"/>
              </w:rPr>
            </w:pPr>
            <w:r w:rsidRPr="60231CC5">
              <w:rPr>
                <w:rFonts w:ascii="Cambria" w:hAnsi="Cambria" w:eastAsia="Cambria" w:cs="Cambria"/>
                <w:b/>
                <w:bCs/>
                <w:color w:val="000000" w:themeColor="text1"/>
                <w:sz w:val="20"/>
                <w:szCs w:val="20"/>
              </w:rPr>
              <w:t>și autonomie</w:t>
            </w:r>
          </w:p>
        </w:tc>
        <w:tc>
          <w:tcPr>
            <w:tcW w:w="9630" w:type="dxa"/>
            <w:tcBorders>
              <w:top w:val="single" w:color="auto" w:sz="6" w:space="0"/>
              <w:left w:val="single" w:color="auto" w:sz="6" w:space="0"/>
              <w:bottom w:val="single" w:color="auto" w:sz="6" w:space="0"/>
              <w:right w:val="single" w:color="auto" w:sz="6" w:space="0"/>
            </w:tcBorders>
            <w:tcMar>
              <w:left w:w="90" w:type="dxa"/>
              <w:right w:w="90" w:type="dxa"/>
            </w:tcMar>
            <w:vAlign w:val="center"/>
          </w:tcPr>
          <w:p w:rsidR="3FBA8B3D" w:rsidP="60231CC5" w:rsidRDefault="3FBA8B3D" w14:paraId="5669A572" w14:textId="79B31F4F">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 Absolventul realizează și interpretează diagnoze în raport cu problemele sociale cu care se confruntă indivizii, grupurile, comunitățile sau organizațiile. </w:t>
            </w:r>
          </w:p>
          <w:p w:rsidR="3FBA8B3D" w:rsidP="60231CC5" w:rsidRDefault="3FBA8B3D" w14:paraId="2E329453" w14:textId="69107205">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administrează bazele de date construite cu indicatori socioeconomici și culturali prin intermediul procedurilor și aplicațiilor software specializate. </w:t>
            </w:r>
          </w:p>
          <w:p w:rsidR="3FBA8B3D" w:rsidP="60231CC5" w:rsidRDefault="3FBA8B3D" w14:paraId="3802D005" w14:textId="6543005F">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analizează datele empirice și evaluează critic și constructiv demersurile de cercetare socioculturală. </w:t>
            </w:r>
          </w:p>
          <w:p w:rsidR="3FBA8B3D" w:rsidP="60231CC5" w:rsidRDefault="3FBA8B3D" w14:paraId="1FA111E1" w14:textId="58E7B70D">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analizează și evaluează situațiile de conflict și dimensiunea problemelor sociale. </w:t>
            </w:r>
          </w:p>
          <w:p w:rsidR="3FBA8B3D" w:rsidP="60231CC5" w:rsidRDefault="3FBA8B3D" w14:paraId="5E1C6B32" w14:textId="5253C577">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evaluează modalități de elaborare și implementare a diagnozei, programelor și politicilor sociale. </w:t>
            </w:r>
          </w:p>
          <w:p w:rsidR="3FBA8B3D" w:rsidP="60231CC5" w:rsidRDefault="3FBA8B3D" w14:paraId="43A3D149" w14:textId="1DE1AFEF">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construiește și evaluează indicatori sociali relevanți pentru cercetările sociale și culturale. </w:t>
            </w:r>
          </w:p>
          <w:p w:rsidR="3FBA8B3D" w:rsidP="60231CC5" w:rsidRDefault="3FBA8B3D" w14:paraId="33DC7869" w14:textId="45D233E6">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creează și gestionează baze de date ce folosesc indicatori socioeconomici și culturali. </w:t>
            </w:r>
          </w:p>
          <w:p w:rsidR="3FBA8B3D" w:rsidP="60231CC5" w:rsidRDefault="3FBA8B3D" w14:paraId="03B793F8" w14:textId="23FE054D">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monitorizează oferirea de consiliere socioprofesională și evaluarea gradului de ameliorare a problemelor sociale. </w:t>
            </w:r>
          </w:p>
          <w:p w:rsidR="3FBA8B3D" w:rsidP="60231CC5" w:rsidRDefault="3FBA8B3D" w14:paraId="54D7750F" w14:textId="217BA84F">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 xml:space="preserve">Studentul/Absolventul evaluează critic explicațiile sociologice ale fenomenelor sociale, asumând limitele metodologice și teoretice ale analizelor realizate și impactul acestora în dezbaterea publică. </w:t>
            </w:r>
          </w:p>
          <w:p w:rsidR="3FBA8B3D" w:rsidP="60231CC5" w:rsidRDefault="3FBA8B3D" w14:paraId="45CEEA0E" w14:textId="5096B6A8">
            <w:pPr>
              <w:pStyle w:val="ListParagraph"/>
              <w:numPr>
                <w:ilvl w:val="0"/>
                <w:numId w:val="1"/>
              </w:numPr>
              <w:spacing w:after="0"/>
              <w:rPr>
                <w:rFonts w:ascii="Cambria" w:hAnsi="Cambria" w:eastAsia="Cambria" w:cs="Cambria"/>
                <w:sz w:val="20"/>
                <w:szCs w:val="20"/>
              </w:rPr>
            </w:pPr>
            <w:r w:rsidRPr="60231CC5">
              <w:rPr>
                <w:rFonts w:ascii="Cambria" w:hAnsi="Cambria" w:eastAsia="Cambria" w:cs="Cambria"/>
                <w:sz w:val="20"/>
                <w:szCs w:val="20"/>
              </w:rPr>
              <w:t>Studentul/Absolventul interpretează și utilizează responsabil rezultatele cercetării sociologice în contexte academice și de dezbatere publică.</w:t>
            </w:r>
          </w:p>
        </w:tc>
      </w:tr>
    </w:tbl>
    <w:p w:rsidR="000B6EB1" w:rsidP="00F01F2B" w:rsidRDefault="000B6EB1" w14:paraId="5D625553" w14:textId="427075B4">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3D88996B"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E31D23" w:rsidR="0083358D" w:rsidP="00E31D23" w:rsidRDefault="00E31D23" w14:paraId="7F90CB51" w14:textId="58E1FA27">
            <w:pPr>
              <w:spacing w:after="0" w:line="240" w:lineRule="auto"/>
              <w:rPr>
                <w:rFonts w:ascii="Cambria" w:hAnsi="Cambria"/>
                <w:sz w:val="20"/>
                <w:szCs w:val="20"/>
              </w:rPr>
            </w:pPr>
            <w:r w:rsidRPr="00E31D23">
              <w:rPr>
                <w:rFonts w:ascii="Cambria" w:hAnsi="Cambria"/>
                <w:sz w:val="20"/>
                <w:szCs w:val="20"/>
              </w:rPr>
              <w:t>Formarea capacității studenților de a analiza critic procesele și structurile sociale specifice spațiului urban, utilizând concepte și perspective teoretice din sociologia urbană contemporană.</w:t>
            </w:r>
          </w:p>
        </w:tc>
      </w:tr>
      <w:tr w:rsidRPr="000B7D0D" w:rsidR="0083358D" w:rsidTr="3D88996B" w14:paraId="36D1494C" w14:textId="77777777">
        <w:trPr>
          <w:cantSplit/>
          <w:trHeight w:val="630"/>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tcMar/>
            <w:vAlign w:val="center"/>
          </w:tcPr>
          <w:p w:rsidRPr="00E31D23" w:rsidR="00E31D23" w:rsidP="00E31D23" w:rsidRDefault="00E31D23" w14:paraId="0B3101BB" w14:textId="24D06823">
            <w:pPr>
              <w:spacing w:after="0" w:line="240" w:lineRule="auto"/>
              <w:rPr>
                <w:rFonts w:ascii="Cambria" w:hAnsi="Cambria"/>
                <w:sz w:val="20"/>
                <w:szCs w:val="20"/>
              </w:rPr>
            </w:pPr>
            <w:r w:rsidRPr="00E31D23">
              <w:rPr>
                <w:rFonts w:ascii="Cambria" w:hAnsi="Cambria"/>
                <w:sz w:val="20"/>
                <w:szCs w:val="20"/>
              </w:rPr>
              <w:t xml:space="preserve">Studentul va fi capabil să identifice și să aplice principalele cadre teoretice ale sociologiei urbane în analiza unor fenomene urbane concrete. </w:t>
            </w:r>
          </w:p>
          <w:p w:rsidRPr="00E31D23" w:rsidR="0083358D" w:rsidP="00E31D23" w:rsidRDefault="00E31D23" w14:paraId="49C8C8EF" w14:textId="00ACA954">
            <w:pPr>
              <w:spacing w:after="0" w:line="240" w:lineRule="auto"/>
              <w:rPr>
                <w:rFonts w:ascii="Cambria" w:hAnsi="Cambria"/>
                <w:sz w:val="20"/>
                <w:szCs w:val="20"/>
              </w:rPr>
            </w:pPr>
            <w:r w:rsidRPr="00E31D23">
              <w:rPr>
                <w:rFonts w:ascii="Cambria" w:hAnsi="Cambria"/>
                <w:sz w:val="20"/>
                <w:szCs w:val="20"/>
              </w:rPr>
              <w:t xml:space="preserve"> Studentul va fi capabil să analizeze critic relațiile dintre spațiu, putere și inegalitate </w:t>
            </w:r>
            <w:r>
              <w:rPr>
                <w:rFonts w:ascii="Cambria" w:hAnsi="Cambria"/>
                <w:sz w:val="20"/>
                <w:szCs w:val="20"/>
              </w:rPr>
              <w:t>s</w:t>
            </w:r>
            <w:r w:rsidRPr="00E31D23">
              <w:rPr>
                <w:rFonts w:ascii="Cambria" w:hAnsi="Cambria"/>
                <w:sz w:val="20"/>
                <w:szCs w:val="20"/>
              </w:rPr>
              <w:t>ocială în contextul orașului contemporan.</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00796905" w14:paraId="5486D853" w14:textId="77777777">
        <w:trPr>
          <w:trHeight w:val="284"/>
        </w:trPr>
        <w:tc>
          <w:tcPr>
            <w:tcW w:w="4395" w:type="dxa"/>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EE74EA" w:rsidTr="00A73E62" w14:paraId="24407265" w14:textId="77777777">
        <w:trPr>
          <w:trHeight w:val="284"/>
        </w:trPr>
        <w:tc>
          <w:tcPr>
            <w:tcW w:w="4395" w:type="dxa"/>
          </w:tcPr>
          <w:p w:rsidRPr="00EE74EA" w:rsidR="00EE74EA" w:rsidP="00EE74EA" w:rsidRDefault="00EE74EA" w14:paraId="5425D878" w14:textId="292C49E7">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Teorii clasice și contemporane ale orașului: de la Școala de la Chicago la abordările postmoderne</w:t>
            </w:r>
          </w:p>
        </w:tc>
        <w:tc>
          <w:tcPr>
            <w:tcW w:w="3119" w:type="dxa"/>
            <w:vAlign w:val="center"/>
          </w:tcPr>
          <w:p w:rsidRPr="002A3A93" w:rsidR="00EE74EA" w:rsidP="00EE74EA" w:rsidRDefault="00EE74EA" w14:paraId="4AEE5826" w14:textId="63E4B421">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Prelegere</w:t>
            </w:r>
          </w:p>
        </w:tc>
        <w:tc>
          <w:tcPr>
            <w:tcW w:w="2977" w:type="dxa"/>
            <w:vAlign w:val="center"/>
          </w:tcPr>
          <w:p w:rsidRPr="002A3A93" w:rsidR="00EE74EA" w:rsidP="00EE74EA" w:rsidRDefault="00EE74EA" w14:paraId="34B87A81" w14:textId="77777777">
            <w:pPr>
              <w:spacing w:after="0" w:line="240" w:lineRule="auto"/>
              <w:rPr>
                <w:rFonts w:ascii="Cambria" w:hAnsi="Cambria" w:eastAsia="Calibri" w:cs="Times New Roman"/>
                <w:kern w:val="0"/>
                <w:sz w:val="20"/>
                <w:szCs w:val="20"/>
                <w14:ligatures w14:val="none"/>
              </w:rPr>
            </w:pPr>
          </w:p>
        </w:tc>
      </w:tr>
      <w:tr w:rsidRPr="002A3A93" w:rsidR="00EE74EA" w:rsidTr="004370E9" w14:paraId="0B451E2D" w14:textId="77777777">
        <w:trPr>
          <w:trHeight w:val="284"/>
        </w:trPr>
        <w:tc>
          <w:tcPr>
            <w:tcW w:w="4395" w:type="dxa"/>
          </w:tcPr>
          <w:p w:rsidRPr="00EE74EA" w:rsidR="00EE74EA" w:rsidP="00EE74EA" w:rsidRDefault="00EE74EA" w14:paraId="577143C3" w14:textId="000D9A92">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Segregare rezidențială și inegalitate urbană</w:t>
            </w:r>
          </w:p>
        </w:tc>
        <w:tc>
          <w:tcPr>
            <w:tcW w:w="3119" w:type="dxa"/>
          </w:tcPr>
          <w:p w:rsidRPr="002A3A93" w:rsidR="00EE74EA" w:rsidP="00EE74EA" w:rsidRDefault="00EE74EA" w14:paraId="2F417D16" w14:textId="5C34CADE">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vAlign w:val="center"/>
          </w:tcPr>
          <w:p w:rsidRPr="002A3A93" w:rsidR="00EE74EA" w:rsidP="00EE74EA" w:rsidRDefault="00EE74EA" w14:paraId="7E688862" w14:textId="77777777">
            <w:pPr>
              <w:spacing w:after="0" w:line="240" w:lineRule="auto"/>
              <w:rPr>
                <w:rFonts w:ascii="Cambria" w:hAnsi="Cambria" w:eastAsia="Calibri" w:cs="Times New Roman"/>
                <w:kern w:val="0"/>
                <w:sz w:val="20"/>
                <w:szCs w:val="20"/>
                <w14:ligatures w14:val="none"/>
              </w:rPr>
            </w:pPr>
          </w:p>
        </w:tc>
      </w:tr>
      <w:tr w:rsidRPr="002A3A93" w:rsidR="00EE74EA" w:rsidTr="004370E9" w14:paraId="047DE1FD" w14:textId="77777777">
        <w:trPr>
          <w:trHeight w:val="284"/>
        </w:trPr>
        <w:tc>
          <w:tcPr>
            <w:tcW w:w="4395" w:type="dxa"/>
          </w:tcPr>
          <w:p w:rsidRPr="00EE74EA" w:rsidR="00EE74EA" w:rsidP="00EE74EA" w:rsidRDefault="00EE74EA" w14:paraId="75A36083" w14:textId="154FF8E3">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Gentrificare: mecanisme, actori și consecințe sociale</w:t>
            </w:r>
          </w:p>
        </w:tc>
        <w:tc>
          <w:tcPr>
            <w:tcW w:w="3119" w:type="dxa"/>
          </w:tcPr>
          <w:p w:rsidRPr="002A3A93" w:rsidR="00EE74EA" w:rsidP="00EE74EA" w:rsidRDefault="00EE74EA" w14:paraId="17BA7C53" w14:textId="70578248">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vAlign w:val="center"/>
          </w:tcPr>
          <w:p w:rsidRPr="002A3A93" w:rsidR="00EE74EA" w:rsidP="00EE74EA" w:rsidRDefault="00EE74EA" w14:paraId="68404402" w14:textId="77777777">
            <w:pPr>
              <w:spacing w:after="0" w:line="240" w:lineRule="auto"/>
              <w:rPr>
                <w:rFonts w:ascii="Cambria" w:hAnsi="Cambria" w:eastAsia="Calibri" w:cs="Times New Roman"/>
                <w:kern w:val="0"/>
                <w:sz w:val="20"/>
                <w:szCs w:val="20"/>
                <w14:ligatures w14:val="none"/>
              </w:rPr>
            </w:pPr>
          </w:p>
        </w:tc>
      </w:tr>
      <w:tr w:rsidRPr="002A3A93" w:rsidR="00EE74EA" w:rsidTr="004370E9" w14:paraId="30D75F9C" w14:textId="77777777">
        <w:trPr>
          <w:trHeight w:val="284"/>
        </w:trPr>
        <w:tc>
          <w:tcPr>
            <w:tcW w:w="4395" w:type="dxa"/>
          </w:tcPr>
          <w:p w:rsidRPr="00EE74EA" w:rsidR="00EE74EA" w:rsidP="00EE74EA" w:rsidRDefault="00EE74EA" w14:paraId="6C53518B" w14:textId="38C4DBC2">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Dreptul la oraș: de la Henri Lefebvre la mișcările urbane contemporane</w:t>
            </w:r>
          </w:p>
        </w:tc>
        <w:tc>
          <w:tcPr>
            <w:tcW w:w="3119" w:type="dxa"/>
          </w:tcPr>
          <w:p w:rsidRPr="002A3A93" w:rsidR="00EE74EA" w:rsidP="00EE74EA" w:rsidRDefault="00EE74EA" w14:paraId="536C28E5" w14:textId="682E09FA">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vAlign w:val="center"/>
          </w:tcPr>
          <w:p w:rsidRPr="002A3A93" w:rsidR="00EE74EA" w:rsidP="00EE74EA" w:rsidRDefault="00EE74EA" w14:paraId="7769CC81"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0CE6DDB6" w14:textId="7D673D71">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Mobilitate urbană și inegalități de acces</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0FD44D03" w14:textId="4941A58B">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5E9B20EA" w14:textId="76C62772">
            <w:pPr>
              <w:spacing w:after="0" w:line="240" w:lineRule="auto"/>
              <w:rPr>
                <w:rFonts w:ascii="Cambria" w:hAnsi="Cambria" w:eastAsia="Calibri" w:cs="Times New Roman"/>
                <w:kern w:val="0"/>
                <w:sz w:val="20"/>
                <w:szCs w:val="20"/>
                <w14:ligatures w14:val="none"/>
              </w:rPr>
            </w:pPr>
          </w:p>
        </w:tc>
      </w:tr>
      <w:tr w:rsidRPr="00C02345" w:rsidR="00EE74EA" w:rsidTr="004370E9"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4710D4C1" w14:textId="17CD4442">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Spațiul public: utilizare, control și excludere</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6BBEC515" w14:textId="7678AAA5">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109B9E1C"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413BBB10" w14:textId="47854B7F">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Suburbanizare și periurbanizare: transformări ale orașului contemporan</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2B843CBD" w14:textId="0E378464">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0B1AF608"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27E482FC" w14:textId="381C9282">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Sărăcie urbană și cartiere defavorizate</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0481BF6A" w14:textId="02DE9AF7">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0098EC06"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6D9BC980" w14:textId="551272F4">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Regenerare urbană: politici, instrumente și efecte sociale</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0C8E1A01" w14:textId="30EBB6C5">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42885E6C"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6334FF3E" w14:textId="499C828B">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Orașul creativ și economia cunoașterii</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0330C9B0" w14:textId="5DCF7085">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01B62874"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320DED96" w14:textId="4ECEDCD7">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Guvernanță urbană și participare civică</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5B606949" w14:textId="7A1C7DB2">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1CB3EE89"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38F0946A" w14:textId="69ECA790">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Migrație și diversitate etnică în spațiul urban</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007A7F01" w14:textId="320F1EA2">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7666EA54"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6C95584A" w14:textId="12FF056C">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Ecologie urbană și orașe sustenabile</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38690E1D" w14:textId="09170831">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314F327F" w14:textId="77777777">
            <w:pPr>
              <w:spacing w:after="0" w:line="240" w:lineRule="auto"/>
              <w:rPr>
                <w:rFonts w:ascii="Cambria" w:hAnsi="Cambria" w:eastAsia="Calibri" w:cs="Times New Roman"/>
                <w:kern w:val="0"/>
                <w:sz w:val="20"/>
                <w:szCs w:val="20"/>
                <w14:ligatures w14:val="none"/>
              </w:rPr>
            </w:pPr>
          </w:p>
        </w:tc>
      </w:tr>
      <w:tr w:rsidRPr="00C02345" w:rsidR="00EE74EA" w:rsidTr="004370E9"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Pr>
          <w:p w:rsidRPr="00EE74EA" w:rsidR="00EE74EA" w:rsidP="00EE74EA" w:rsidRDefault="00EE74EA" w14:paraId="33F7AE97" w14:textId="2BCD4B64">
            <w:pPr>
              <w:spacing w:after="0" w:line="240" w:lineRule="auto"/>
              <w:rPr>
                <w:rFonts w:ascii="Cambria" w:hAnsi="Cambria" w:eastAsia="Calibri" w:cs="Times New Roman"/>
                <w:kern w:val="0"/>
                <w:sz w:val="20"/>
                <w:szCs w:val="20"/>
                <w14:ligatures w14:val="none"/>
              </w:rPr>
            </w:pPr>
            <w:r w:rsidRPr="00EE74EA">
              <w:rPr>
                <w:rFonts w:ascii="Cambria" w:hAnsi="Cambria"/>
                <w:sz w:val="20"/>
                <w:szCs w:val="20"/>
              </w:rPr>
              <w:t>Orașe inteligente (smart cities): promisiuni tehnologice și critici sociale</w:t>
            </w:r>
          </w:p>
        </w:tc>
        <w:tc>
          <w:tcPr>
            <w:tcW w:w="3119" w:type="dxa"/>
            <w:tcBorders>
              <w:top w:val="single" w:color="auto" w:sz="4" w:space="0"/>
              <w:left w:val="single" w:color="auto" w:sz="4" w:space="0"/>
              <w:bottom w:val="single" w:color="auto" w:sz="4" w:space="0"/>
              <w:right w:val="single" w:color="auto" w:sz="4" w:space="0"/>
            </w:tcBorders>
          </w:tcPr>
          <w:p w:rsidRPr="00C02345" w:rsidR="00EE74EA" w:rsidP="00EE74EA" w:rsidRDefault="00EE74EA" w14:paraId="3FF1A11C" w14:textId="53A20363">
            <w:pPr>
              <w:spacing w:after="0" w:line="240" w:lineRule="auto"/>
              <w:rPr>
                <w:rFonts w:ascii="Cambria" w:hAnsi="Cambria" w:eastAsia="Calibri" w:cs="Times New Roman"/>
                <w:kern w:val="0"/>
                <w:sz w:val="20"/>
                <w:szCs w:val="20"/>
                <w14:ligatures w14:val="none"/>
              </w:rPr>
            </w:pPr>
            <w:r w:rsidRPr="00336020">
              <w:rPr>
                <w:rFonts w:ascii="Cambria" w:hAnsi="Cambria" w:eastAsia="Calibri" w:cs="Times New Roman"/>
                <w:kern w:val="0"/>
                <w:sz w:val="20"/>
                <w:szCs w:val="20"/>
                <w14:ligatures w14:val="none"/>
              </w:rPr>
              <w:t>Prelegere</w:t>
            </w: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EE74EA" w:rsidP="00EE74EA" w:rsidRDefault="00EE74EA"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00796905" w14:paraId="6DEC7BC6" w14:textId="77777777">
        <w:trPr>
          <w:trHeight w:val="284"/>
        </w:trPr>
        <w:tc>
          <w:tcPr>
            <w:tcW w:w="10491" w:type="dxa"/>
            <w:gridSpan w:val="3"/>
            <w:vAlign w:val="center"/>
          </w:tcPr>
          <w:p w:rsidR="003F659E" w:rsidP="00373CCF" w:rsidRDefault="003F659E" w14:paraId="74B091A6" w14:textId="77777777">
            <w:pPr>
              <w:spacing w:after="0" w:line="240" w:lineRule="auto"/>
              <w:rPr>
                <w:rFonts w:ascii="Cambria" w:hAnsi="Cambria"/>
                <w:sz w:val="20"/>
                <w:szCs w:val="20"/>
              </w:rPr>
            </w:pPr>
            <w:r w:rsidRPr="00C02345">
              <w:rPr>
                <w:rFonts w:ascii="Cambria" w:hAnsi="Cambria"/>
                <w:sz w:val="20"/>
                <w:szCs w:val="20"/>
              </w:rPr>
              <w:t>Bibliografie</w:t>
            </w:r>
          </w:p>
          <w:p w:rsidRPr="00BC380C" w:rsidR="00BC380C" w:rsidP="00BC380C" w:rsidRDefault="00BC380C" w14:paraId="5883BB82" w14:textId="77777777">
            <w:pPr>
              <w:spacing w:after="0" w:line="240" w:lineRule="auto"/>
              <w:rPr>
                <w:rFonts w:ascii="Cambria" w:hAnsi="Cambria"/>
                <w:sz w:val="20"/>
                <w:szCs w:val="20"/>
              </w:rPr>
            </w:pPr>
            <w:r w:rsidRPr="00BC380C">
              <w:rPr>
                <w:rFonts w:ascii="Cambria" w:hAnsi="Cambria"/>
                <w:sz w:val="20"/>
                <w:szCs w:val="20"/>
              </w:rPr>
              <w:t>Park, R. E., Burgess, E. W., &amp; McKenzie, R. D. (1925). The city. University of Chicago Press. / Soja, E. W. (2000). Postmetropolis: Critical studies of cities and regions. Blackwell.</w:t>
            </w:r>
          </w:p>
          <w:p w:rsidRPr="00BC380C" w:rsidR="00BC380C" w:rsidP="00BC380C" w:rsidRDefault="00BC380C" w14:paraId="50BD3C92" w14:textId="77777777">
            <w:pPr>
              <w:spacing w:after="0" w:line="240" w:lineRule="auto"/>
              <w:rPr>
                <w:rFonts w:ascii="Cambria" w:hAnsi="Cambria"/>
                <w:sz w:val="20"/>
                <w:szCs w:val="20"/>
              </w:rPr>
            </w:pPr>
            <w:r w:rsidRPr="00BC380C">
              <w:rPr>
                <w:rFonts w:ascii="Cambria" w:hAnsi="Cambria"/>
                <w:sz w:val="20"/>
                <w:szCs w:val="20"/>
              </w:rPr>
              <w:t>Massey, D. S., &amp; Denton, N. A. (1993). American apartheid: Segregation and the making of the underclass. Harvard University Press. / Wacquant, L. (2008). Urban outcasts: A comparative sociology of advanced marginality. Polity Press.</w:t>
            </w:r>
          </w:p>
          <w:p w:rsidRPr="00BC380C" w:rsidR="00BC380C" w:rsidP="00BC380C" w:rsidRDefault="00BC380C" w14:paraId="06C99EC9" w14:textId="77777777">
            <w:pPr>
              <w:spacing w:after="0" w:line="240" w:lineRule="auto"/>
              <w:rPr>
                <w:rFonts w:ascii="Cambria" w:hAnsi="Cambria"/>
                <w:sz w:val="20"/>
                <w:szCs w:val="20"/>
              </w:rPr>
            </w:pPr>
            <w:r w:rsidRPr="00BC380C">
              <w:rPr>
                <w:rFonts w:ascii="Cambria" w:hAnsi="Cambria"/>
                <w:sz w:val="20"/>
                <w:szCs w:val="20"/>
              </w:rPr>
              <w:t>Glass, R. (1964). London: Aspects of change. MacGibbon &amp; Kee. / Lees, L., Slater, T., &amp; Wyly, E. (2008). Gentrification. Routledge.</w:t>
            </w:r>
          </w:p>
          <w:p w:rsidRPr="00BC380C" w:rsidR="00BC380C" w:rsidP="00BC380C" w:rsidRDefault="00BC380C" w14:paraId="7FDD2E27" w14:textId="77777777">
            <w:pPr>
              <w:spacing w:after="0" w:line="240" w:lineRule="auto"/>
              <w:rPr>
                <w:rFonts w:ascii="Cambria" w:hAnsi="Cambria"/>
                <w:sz w:val="20"/>
                <w:szCs w:val="20"/>
              </w:rPr>
            </w:pPr>
            <w:r w:rsidRPr="00BC380C">
              <w:rPr>
                <w:rFonts w:ascii="Cambria" w:hAnsi="Cambria"/>
                <w:sz w:val="20"/>
                <w:szCs w:val="20"/>
              </w:rPr>
              <w:t>Lefebvre, H. (1968). Le droit à la ville. Anthropos. / Harvey, D. (2012). Rebel cities: From the right to the city to the urban revolution. Verso.</w:t>
            </w:r>
          </w:p>
          <w:p w:rsidRPr="00BC380C" w:rsidR="00BC380C" w:rsidP="00BC380C" w:rsidRDefault="00BC380C" w14:paraId="634083A7" w14:textId="77777777">
            <w:pPr>
              <w:spacing w:after="0" w:line="240" w:lineRule="auto"/>
              <w:rPr>
                <w:rFonts w:ascii="Cambria" w:hAnsi="Cambria"/>
                <w:sz w:val="20"/>
                <w:szCs w:val="20"/>
              </w:rPr>
            </w:pPr>
            <w:r w:rsidRPr="00BC380C">
              <w:rPr>
                <w:rFonts w:ascii="Cambria" w:hAnsi="Cambria"/>
                <w:sz w:val="20"/>
                <w:szCs w:val="20"/>
              </w:rPr>
              <w:t>Urry, J. (2007). Mobilities. Polity Press. / Kaufmann, V. (2002). Re-thinking mobility. Ashgate.</w:t>
            </w:r>
          </w:p>
          <w:p w:rsidRPr="00BC380C" w:rsidR="00BC380C" w:rsidP="00BC380C" w:rsidRDefault="00BC380C" w14:paraId="3D0796AD" w14:textId="77777777">
            <w:pPr>
              <w:spacing w:after="0" w:line="240" w:lineRule="auto"/>
              <w:rPr>
                <w:rFonts w:ascii="Cambria" w:hAnsi="Cambria"/>
                <w:sz w:val="20"/>
                <w:szCs w:val="20"/>
              </w:rPr>
            </w:pPr>
            <w:r w:rsidRPr="00BC380C">
              <w:rPr>
                <w:rFonts w:ascii="Cambria" w:hAnsi="Cambria"/>
                <w:sz w:val="20"/>
                <w:szCs w:val="20"/>
              </w:rPr>
              <w:t>Jacobs, J. (1961). The death and life of great American cities. Random House. / Mitchell, D. (2003). The right to the city: Social justice and the fight for public space. Guilford Press.</w:t>
            </w:r>
          </w:p>
          <w:p w:rsidRPr="00BC380C" w:rsidR="00BC380C" w:rsidP="00BC380C" w:rsidRDefault="00BC380C" w14:paraId="672C5219" w14:textId="77777777">
            <w:pPr>
              <w:spacing w:after="0" w:line="240" w:lineRule="auto"/>
              <w:rPr>
                <w:rFonts w:ascii="Cambria" w:hAnsi="Cambria"/>
                <w:sz w:val="20"/>
                <w:szCs w:val="20"/>
              </w:rPr>
            </w:pPr>
            <w:r w:rsidRPr="00BC380C">
              <w:rPr>
                <w:rFonts w:ascii="Cambria" w:hAnsi="Cambria"/>
                <w:sz w:val="20"/>
                <w:szCs w:val="20"/>
              </w:rPr>
              <w:t>Fishman, R. (1987). Bourgeois utopias: The rise and fall of suburbia. Basic Books. / Phelps, N. A., &amp; Wu, F. (Eds.). (2011). International perspectives on suburbanization. Palgrave Macmillan.</w:t>
            </w:r>
          </w:p>
          <w:p w:rsidRPr="00BC380C" w:rsidR="00BC380C" w:rsidP="00BC380C" w:rsidRDefault="00BC380C" w14:paraId="2A566E76" w14:textId="77777777">
            <w:pPr>
              <w:spacing w:after="0" w:line="240" w:lineRule="auto"/>
              <w:rPr>
                <w:rFonts w:ascii="Cambria" w:hAnsi="Cambria"/>
                <w:sz w:val="20"/>
                <w:szCs w:val="20"/>
              </w:rPr>
            </w:pPr>
            <w:r w:rsidRPr="00BC380C">
              <w:rPr>
                <w:rFonts w:ascii="Cambria" w:hAnsi="Cambria"/>
                <w:sz w:val="20"/>
                <w:szCs w:val="20"/>
              </w:rPr>
              <w:t>Wilson, W. J. (1987). The truly disadvantaged: The inner city, the underclass, and public policy. University of Chicago Press. / Wacquant, L. (2009). Punishing the poor: The neoliberal government of social insecurity. Duke University Press.</w:t>
            </w:r>
          </w:p>
          <w:p w:rsidRPr="00BC380C" w:rsidR="00BC380C" w:rsidP="00BC380C" w:rsidRDefault="00BC380C" w14:paraId="50D8757D" w14:textId="77777777">
            <w:pPr>
              <w:spacing w:after="0" w:line="240" w:lineRule="auto"/>
              <w:rPr>
                <w:rFonts w:ascii="Cambria" w:hAnsi="Cambria"/>
                <w:sz w:val="20"/>
                <w:szCs w:val="20"/>
              </w:rPr>
            </w:pPr>
            <w:r w:rsidRPr="00BC380C">
              <w:rPr>
                <w:rFonts w:ascii="Cambria" w:hAnsi="Cambria"/>
                <w:sz w:val="20"/>
                <w:szCs w:val="20"/>
              </w:rPr>
              <w:t>Roberts, P., &amp; Sykes, H. (Eds.). (2000). Urban regeneration: A handbook. Sage. / Atkinson, R., &amp; Bridge, G. (Eds.). (2005). Gentrification in a global context. Routledge.</w:t>
            </w:r>
          </w:p>
          <w:p w:rsidRPr="00BC380C" w:rsidR="00BC380C" w:rsidP="00BC380C" w:rsidRDefault="00BC380C" w14:paraId="1B202756" w14:textId="77777777">
            <w:pPr>
              <w:spacing w:after="0" w:line="240" w:lineRule="auto"/>
              <w:rPr>
                <w:rFonts w:ascii="Cambria" w:hAnsi="Cambria"/>
                <w:sz w:val="20"/>
                <w:szCs w:val="20"/>
              </w:rPr>
            </w:pPr>
            <w:r w:rsidRPr="00BC380C">
              <w:rPr>
                <w:rFonts w:ascii="Cambria" w:hAnsi="Cambria"/>
                <w:sz w:val="20"/>
                <w:szCs w:val="20"/>
              </w:rPr>
              <w:t>Florida, R. (2002). The rise of the creative class. Basic Books. / Peck, J. (2005). Struggling with the creative class. International Journal of Urban and Regional Research, 29(4), 740–770.</w:t>
            </w:r>
          </w:p>
          <w:p w:rsidRPr="00BC380C" w:rsidR="00BC380C" w:rsidP="00BC380C" w:rsidRDefault="00BC380C" w14:paraId="3B91C970" w14:textId="77777777">
            <w:pPr>
              <w:spacing w:after="0" w:line="240" w:lineRule="auto"/>
              <w:rPr>
                <w:rFonts w:ascii="Cambria" w:hAnsi="Cambria"/>
                <w:sz w:val="20"/>
                <w:szCs w:val="20"/>
              </w:rPr>
            </w:pPr>
            <w:r w:rsidRPr="00BC380C">
              <w:rPr>
                <w:rFonts w:ascii="Cambria" w:hAnsi="Cambria"/>
                <w:sz w:val="20"/>
                <w:szCs w:val="20"/>
              </w:rPr>
              <w:t>Brenner, N., Marcuse, P., &amp; Mayer, M. (Eds.). (2012). Cities for people, not for profit. Routledge. / Pierre, J. (Ed.). (2011). The politics of urban governance. Palgrave Macmillan.</w:t>
            </w:r>
          </w:p>
          <w:p w:rsidRPr="00BC380C" w:rsidR="00BC380C" w:rsidP="00BC380C" w:rsidRDefault="00BC380C" w14:paraId="62E99431" w14:textId="77777777">
            <w:pPr>
              <w:spacing w:after="0" w:line="240" w:lineRule="auto"/>
              <w:rPr>
                <w:rFonts w:ascii="Cambria" w:hAnsi="Cambria"/>
                <w:sz w:val="20"/>
                <w:szCs w:val="20"/>
              </w:rPr>
            </w:pPr>
            <w:r w:rsidRPr="00BC380C">
              <w:rPr>
                <w:rFonts w:ascii="Cambria" w:hAnsi="Cambria"/>
                <w:sz w:val="20"/>
                <w:szCs w:val="20"/>
              </w:rPr>
              <w:t>Castles, S., &amp; Miller, M. J. (2009). The age of migration (4th ed.). Guilford Press. / Vertovec, S. (2007). Super-diversity and its implications. Ethnic and Racial Studies, 30(6), 1024–1054.</w:t>
            </w:r>
          </w:p>
          <w:p w:rsidRPr="00BC380C" w:rsidR="00BC380C" w:rsidP="00BC380C" w:rsidRDefault="00BC380C" w14:paraId="35E71915" w14:textId="77777777">
            <w:pPr>
              <w:spacing w:after="0" w:line="240" w:lineRule="auto"/>
              <w:rPr>
                <w:rFonts w:ascii="Cambria" w:hAnsi="Cambria"/>
                <w:sz w:val="20"/>
                <w:szCs w:val="20"/>
              </w:rPr>
            </w:pPr>
            <w:r w:rsidRPr="00BC380C">
              <w:rPr>
                <w:rFonts w:ascii="Cambria" w:hAnsi="Cambria"/>
                <w:sz w:val="20"/>
                <w:szCs w:val="20"/>
              </w:rPr>
              <w:t>Swyngedouw, E., &amp; Heynen, N. C. (2003). Urban political ecology, justice and the politics of scale. Antipode, 35(5), 898–918. / Beatley, T. (2000). Green urbanism: Learning from European cities. Island Press.</w:t>
            </w:r>
          </w:p>
          <w:p w:rsidRPr="00C02345" w:rsidR="00BC380C" w:rsidP="00BC380C" w:rsidRDefault="00BC380C" w14:paraId="28D0D0F1" w14:textId="11F92B83">
            <w:pPr>
              <w:spacing w:after="0" w:line="240" w:lineRule="auto"/>
              <w:rPr>
                <w:rFonts w:ascii="Cambria" w:hAnsi="Cambria"/>
                <w:sz w:val="20"/>
                <w:szCs w:val="20"/>
              </w:rPr>
            </w:pPr>
            <w:r w:rsidRPr="00BC380C">
              <w:rPr>
                <w:rFonts w:ascii="Cambria" w:hAnsi="Cambria"/>
                <w:sz w:val="20"/>
                <w:szCs w:val="20"/>
              </w:rPr>
              <w:t>Townsend, A. M. (2013). Smart cities: Big data, civic hackers, and the quest for a new utopia. W. W. Norton. / Kitchin, R. (2014). The real-time city? Big data and smart urbanism. GeoJournal, 79(1), 1–14.</w:t>
            </w:r>
          </w:p>
        </w:tc>
      </w:tr>
      <w:tr w:rsidRPr="00C02345" w:rsidR="008C28C6" w:rsidTr="00796905" w14:paraId="724C172F" w14:textId="77777777">
        <w:trPr>
          <w:trHeight w:val="284"/>
        </w:trPr>
        <w:tc>
          <w:tcPr>
            <w:tcW w:w="4395" w:type="dxa"/>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AF4E4F" w:rsidTr="00B86348" w14:paraId="74734A45" w14:textId="77777777">
        <w:trPr>
          <w:trHeight w:val="284"/>
        </w:trPr>
        <w:tc>
          <w:tcPr>
            <w:tcW w:w="4395" w:type="dxa"/>
          </w:tcPr>
          <w:p w:rsidRPr="00AF4E4F" w:rsidR="00AF4E4F" w:rsidP="00AF4E4F" w:rsidRDefault="00AF4E4F" w14:paraId="6C224A07" w14:textId="1C1B86B3">
            <w:pPr>
              <w:spacing w:after="0" w:line="240" w:lineRule="auto"/>
              <w:rPr>
                <w:rFonts w:ascii="Cambria" w:hAnsi="Cambria"/>
                <w:sz w:val="20"/>
                <w:szCs w:val="20"/>
              </w:rPr>
            </w:pPr>
            <w:r w:rsidRPr="00AF4E4F">
              <w:rPr>
                <w:rFonts w:ascii="Cambria" w:hAnsi="Cambria"/>
                <w:sz w:val="20"/>
                <w:szCs w:val="20"/>
              </w:rPr>
              <w:lastRenderedPageBreak/>
              <w:t>Orașul ca obiect sociologic: teorii și perspective</w:t>
            </w:r>
          </w:p>
        </w:tc>
        <w:tc>
          <w:tcPr>
            <w:tcW w:w="3119" w:type="dxa"/>
            <w:vAlign w:val="center"/>
          </w:tcPr>
          <w:p w:rsidRPr="00C02345" w:rsidR="00AF4E4F" w:rsidP="00AF4E4F" w:rsidRDefault="00AF4E4F" w14:paraId="7A7ED45E" w14:textId="13B2090B">
            <w:pPr>
              <w:spacing w:after="0" w:line="240" w:lineRule="auto"/>
              <w:rPr>
                <w:rFonts w:ascii="Cambria" w:hAnsi="Cambria"/>
                <w:sz w:val="20"/>
                <w:szCs w:val="20"/>
              </w:rPr>
            </w:pPr>
            <w:r>
              <w:rPr>
                <w:rFonts w:ascii="Cambria" w:hAnsi="Cambria"/>
                <w:sz w:val="20"/>
                <w:szCs w:val="20"/>
              </w:rPr>
              <w:t>Discuții interactive si exerciții</w:t>
            </w:r>
          </w:p>
        </w:tc>
        <w:tc>
          <w:tcPr>
            <w:tcW w:w="2977" w:type="dxa"/>
            <w:vAlign w:val="center"/>
          </w:tcPr>
          <w:p w:rsidRPr="00C02345" w:rsidR="00AF4E4F" w:rsidP="00AF4E4F" w:rsidRDefault="00AF4E4F" w14:paraId="6EA614A7" w14:textId="77777777">
            <w:pPr>
              <w:spacing w:after="0" w:line="240" w:lineRule="auto"/>
              <w:rPr>
                <w:rFonts w:ascii="Cambria" w:hAnsi="Cambria"/>
                <w:sz w:val="20"/>
                <w:szCs w:val="20"/>
              </w:rPr>
            </w:pPr>
          </w:p>
        </w:tc>
      </w:tr>
      <w:tr w:rsidRPr="00C02345" w:rsidR="00456CED" w:rsidTr="00002EEC" w14:paraId="058026E7" w14:textId="77777777">
        <w:trPr>
          <w:trHeight w:val="284"/>
        </w:trPr>
        <w:tc>
          <w:tcPr>
            <w:tcW w:w="4395" w:type="dxa"/>
          </w:tcPr>
          <w:p w:rsidRPr="00AF4E4F" w:rsidR="00456CED" w:rsidP="00456CED" w:rsidRDefault="00456CED" w14:paraId="05F51FCC" w14:textId="347CA3F1">
            <w:pPr>
              <w:spacing w:after="0" w:line="240" w:lineRule="auto"/>
              <w:rPr>
                <w:rFonts w:ascii="Cambria" w:hAnsi="Cambria"/>
                <w:sz w:val="20"/>
                <w:szCs w:val="20"/>
              </w:rPr>
            </w:pPr>
            <w:r w:rsidRPr="00AF4E4F">
              <w:rPr>
                <w:rFonts w:ascii="Cambria" w:hAnsi="Cambria"/>
                <w:sz w:val="20"/>
                <w:szCs w:val="20"/>
              </w:rPr>
              <w:t>Cine locuiește unde? Segregare și inegalitate rezidențială</w:t>
            </w:r>
          </w:p>
        </w:tc>
        <w:tc>
          <w:tcPr>
            <w:tcW w:w="3119" w:type="dxa"/>
          </w:tcPr>
          <w:p w:rsidRPr="00C02345" w:rsidR="00456CED" w:rsidP="00456CED" w:rsidRDefault="00456CED" w14:paraId="27D189C9" w14:textId="3DB2FA59">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2C9FB219" w14:textId="77777777">
            <w:pPr>
              <w:spacing w:after="0" w:line="240" w:lineRule="auto"/>
              <w:rPr>
                <w:rFonts w:ascii="Cambria" w:hAnsi="Cambria"/>
                <w:sz w:val="20"/>
                <w:szCs w:val="20"/>
              </w:rPr>
            </w:pPr>
          </w:p>
        </w:tc>
      </w:tr>
      <w:tr w:rsidRPr="00C02345" w:rsidR="00456CED" w:rsidTr="00002EEC" w14:paraId="080DEBDB" w14:textId="77777777">
        <w:trPr>
          <w:trHeight w:val="284"/>
        </w:trPr>
        <w:tc>
          <w:tcPr>
            <w:tcW w:w="4395" w:type="dxa"/>
          </w:tcPr>
          <w:p w:rsidRPr="00AF4E4F" w:rsidR="00456CED" w:rsidP="00456CED" w:rsidRDefault="00456CED" w14:paraId="12886A01" w14:textId="14F10477">
            <w:pPr>
              <w:spacing w:after="0" w:line="240" w:lineRule="auto"/>
              <w:rPr>
                <w:rFonts w:ascii="Cambria" w:hAnsi="Cambria"/>
                <w:sz w:val="20"/>
                <w:szCs w:val="20"/>
              </w:rPr>
            </w:pPr>
            <w:r w:rsidRPr="00AF4E4F">
              <w:rPr>
                <w:rFonts w:ascii="Cambria" w:hAnsi="Cambria"/>
                <w:sz w:val="20"/>
                <w:szCs w:val="20"/>
              </w:rPr>
              <w:t>Gentrificare: cine câștigă și cine pierde?</w:t>
            </w:r>
          </w:p>
        </w:tc>
        <w:tc>
          <w:tcPr>
            <w:tcW w:w="3119" w:type="dxa"/>
          </w:tcPr>
          <w:p w:rsidRPr="00C02345" w:rsidR="00456CED" w:rsidP="00456CED" w:rsidRDefault="00456CED" w14:paraId="165754E0" w14:textId="163B0D0A">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2F5FC4CE" w14:textId="77777777">
            <w:pPr>
              <w:spacing w:after="0" w:line="240" w:lineRule="auto"/>
              <w:rPr>
                <w:rFonts w:ascii="Cambria" w:hAnsi="Cambria"/>
                <w:sz w:val="20"/>
                <w:szCs w:val="20"/>
              </w:rPr>
            </w:pPr>
          </w:p>
        </w:tc>
      </w:tr>
      <w:tr w:rsidRPr="00C02345" w:rsidR="00456CED" w:rsidTr="00002EEC" w14:paraId="2E0779CC" w14:textId="77777777">
        <w:trPr>
          <w:trHeight w:val="284"/>
        </w:trPr>
        <w:tc>
          <w:tcPr>
            <w:tcW w:w="4395" w:type="dxa"/>
          </w:tcPr>
          <w:p w:rsidRPr="00AF4E4F" w:rsidR="00456CED" w:rsidP="00456CED" w:rsidRDefault="00456CED" w14:paraId="58400282" w14:textId="5A57A0A8">
            <w:pPr>
              <w:spacing w:after="0" w:line="240" w:lineRule="auto"/>
              <w:rPr>
                <w:rFonts w:ascii="Cambria" w:hAnsi="Cambria"/>
                <w:sz w:val="20"/>
                <w:szCs w:val="20"/>
              </w:rPr>
            </w:pPr>
            <w:r w:rsidRPr="00AF4E4F">
              <w:rPr>
                <w:rFonts w:ascii="Cambria" w:hAnsi="Cambria"/>
                <w:sz w:val="20"/>
                <w:szCs w:val="20"/>
              </w:rPr>
              <w:t>Dreptul la oraș: teorie și mișcări sociale urbane</w:t>
            </w:r>
          </w:p>
        </w:tc>
        <w:tc>
          <w:tcPr>
            <w:tcW w:w="3119" w:type="dxa"/>
          </w:tcPr>
          <w:p w:rsidRPr="00C02345" w:rsidR="00456CED" w:rsidP="00456CED" w:rsidRDefault="00456CED" w14:paraId="2AAD228C" w14:textId="726FF0E7">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4F132F39" w14:textId="77777777">
            <w:pPr>
              <w:spacing w:after="0" w:line="240" w:lineRule="auto"/>
              <w:rPr>
                <w:rFonts w:ascii="Cambria" w:hAnsi="Cambria"/>
                <w:sz w:val="20"/>
                <w:szCs w:val="20"/>
              </w:rPr>
            </w:pPr>
          </w:p>
        </w:tc>
      </w:tr>
      <w:tr w:rsidRPr="00C02345" w:rsidR="00456CED" w:rsidTr="00002EEC" w14:paraId="620D6B19" w14:textId="77777777">
        <w:trPr>
          <w:trHeight w:val="284"/>
        </w:trPr>
        <w:tc>
          <w:tcPr>
            <w:tcW w:w="4395" w:type="dxa"/>
          </w:tcPr>
          <w:p w:rsidRPr="00AF4E4F" w:rsidR="00456CED" w:rsidP="00456CED" w:rsidRDefault="00456CED" w14:paraId="3875E89E" w14:textId="20B19DF0">
            <w:pPr>
              <w:spacing w:after="0" w:line="240" w:lineRule="auto"/>
              <w:rPr>
                <w:rFonts w:ascii="Cambria" w:hAnsi="Cambria"/>
                <w:sz w:val="20"/>
                <w:szCs w:val="20"/>
              </w:rPr>
            </w:pPr>
            <w:r w:rsidRPr="00AF4E4F">
              <w:rPr>
                <w:rFonts w:ascii="Cambria" w:hAnsi="Cambria"/>
                <w:sz w:val="20"/>
                <w:szCs w:val="20"/>
              </w:rPr>
              <w:t>Mobilitate și acces: cine se poate mișca în oraș?</w:t>
            </w:r>
          </w:p>
        </w:tc>
        <w:tc>
          <w:tcPr>
            <w:tcW w:w="3119" w:type="dxa"/>
          </w:tcPr>
          <w:p w:rsidRPr="00C02345" w:rsidR="00456CED" w:rsidP="00456CED" w:rsidRDefault="00456CED" w14:paraId="1E69B7B6" w14:textId="4B79B791">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58B99170" w14:textId="77777777">
            <w:pPr>
              <w:spacing w:after="0" w:line="240" w:lineRule="auto"/>
              <w:rPr>
                <w:rFonts w:ascii="Cambria" w:hAnsi="Cambria"/>
                <w:sz w:val="20"/>
                <w:szCs w:val="20"/>
              </w:rPr>
            </w:pPr>
          </w:p>
        </w:tc>
      </w:tr>
      <w:tr w:rsidRPr="00C02345" w:rsidR="00456CED" w:rsidTr="00002EEC" w14:paraId="1B5A601A" w14:textId="77777777">
        <w:trPr>
          <w:trHeight w:val="284"/>
        </w:trPr>
        <w:tc>
          <w:tcPr>
            <w:tcW w:w="4395" w:type="dxa"/>
          </w:tcPr>
          <w:p w:rsidRPr="00AF4E4F" w:rsidR="00456CED" w:rsidP="00456CED" w:rsidRDefault="00456CED" w14:paraId="67757036" w14:textId="29249C1D">
            <w:pPr>
              <w:spacing w:after="0" w:line="240" w:lineRule="auto"/>
              <w:rPr>
                <w:rFonts w:ascii="Cambria" w:hAnsi="Cambria"/>
                <w:sz w:val="20"/>
                <w:szCs w:val="20"/>
              </w:rPr>
            </w:pPr>
            <w:r w:rsidRPr="00AF4E4F">
              <w:rPr>
                <w:rFonts w:ascii="Cambria" w:hAnsi="Cambria"/>
                <w:sz w:val="20"/>
                <w:szCs w:val="20"/>
              </w:rPr>
              <w:t>Spațiul public: între deschidere și control</w:t>
            </w:r>
          </w:p>
        </w:tc>
        <w:tc>
          <w:tcPr>
            <w:tcW w:w="3119" w:type="dxa"/>
          </w:tcPr>
          <w:p w:rsidRPr="00C02345" w:rsidR="00456CED" w:rsidP="00456CED" w:rsidRDefault="00456CED" w14:paraId="1F5EA761" w14:textId="17841403">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0D47ECF6" w14:textId="77777777">
            <w:pPr>
              <w:spacing w:after="0" w:line="240" w:lineRule="auto"/>
              <w:rPr>
                <w:rFonts w:ascii="Cambria" w:hAnsi="Cambria"/>
                <w:sz w:val="20"/>
                <w:szCs w:val="20"/>
              </w:rPr>
            </w:pPr>
          </w:p>
        </w:tc>
      </w:tr>
      <w:tr w:rsidRPr="00C02345" w:rsidR="00456CED" w:rsidTr="00002EEC" w14:paraId="18F81C05" w14:textId="77777777">
        <w:trPr>
          <w:trHeight w:val="284"/>
        </w:trPr>
        <w:tc>
          <w:tcPr>
            <w:tcW w:w="4395" w:type="dxa"/>
          </w:tcPr>
          <w:p w:rsidRPr="00AF4E4F" w:rsidR="00456CED" w:rsidP="00456CED" w:rsidRDefault="00456CED" w14:paraId="540BB0BC" w14:textId="35F32315">
            <w:pPr>
              <w:spacing w:after="0" w:line="240" w:lineRule="auto"/>
              <w:rPr>
                <w:rFonts w:ascii="Cambria" w:hAnsi="Cambria"/>
                <w:sz w:val="20"/>
                <w:szCs w:val="20"/>
              </w:rPr>
            </w:pPr>
            <w:r w:rsidRPr="00AF4E4F">
              <w:rPr>
                <w:rFonts w:ascii="Cambria" w:hAnsi="Cambria"/>
                <w:sz w:val="20"/>
                <w:szCs w:val="20"/>
              </w:rPr>
              <w:t>Suburbanizare și periurbanizare: orașul care se extinde</w:t>
            </w:r>
          </w:p>
        </w:tc>
        <w:tc>
          <w:tcPr>
            <w:tcW w:w="3119" w:type="dxa"/>
          </w:tcPr>
          <w:p w:rsidRPr="00C02345" w:rsidR="00456CED" w:rsidP="00456CED" w:rsidRDefault="00456CED" w14:paraId="5F87FF47" w14:textId="410084DE">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7F591E9B" w14:textId="77777777">
            <w:pPr>
              <w:spacing w:after="0" w:line="240" w:lineRule="auto"/>
              <w:rPr>
                <w:rFonts w:ascii="Cambria" w:hAnsi="Cambria"/>
                <w:sz w:val="20"/>
                <w:szCs w:val="20"/>
              </w:rPr>
            </w:pPr>
          </w:p>
        </w:tc>
      </w:tr>
      <w:tr w:rsidRPr="00C02345" w:rsidR="00456CED" w:rsidTr="00002EEC" w14:paraId="20F18C72" w14:textId="77777777">
        <w:trPr>
          <w:trHeight w:val="284"/>
        </w:trPr>
        <w:tc>
          <w:tcPr>
            <w:tcW w:w="4395" w:type="dxa"/>
          </w:tcPr>
          <w:p w:rsidRPr="00AF4E4F" w:rsidR="00456CED" w:rsidP="00456CED" w:rsidRDefault="00456CED" w14:paraId="2922E1E1" w14:textId="49F8E618">
            <w:pPr>
              <w:spacing w:after="0" w:line="240" w:lineRule="auto"/>
              <w:rPr>
                <w:rFonts w:ascii="Cambria" w:hAnsi="Cambria"/>
                <w:sz w:val="20"/>
                <w:szCs w:val="20"/>
              </w:rPr>
            </w:pPr>
            <w:r w:rsidRPr="00AF4E4F">
              <w:rPr>
                <w:rFonts w:ascii="Cambria" w:hAnsi="Cambria"/>
                <w:sz w:val="20"/>
                <w:szCs w:val="20"/>
              </w:rPr>
              <w:t>Sărăcie și cartiere defavorizate: mecanisme și consecințe</w:t>
            </w:r>
          </w:p>
        </w:tc>
        <w:tc>
          <w:tcPr>
            <w:tcW w:w="3119" w:type="dxa"/>
          </w:tcPr>
          <w:p w:rsidRPr="00C02345" w:rsidR="00456CED" w:rsidP="00456CED" w:rsidRDefault="00456CED" w14:paraId="3A403D32" w14:textId="4BF600F4">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4D787371" w14:textId="77777777">
            <w:pPr>
              <w:spacing w:after="0" w:line="240" w:lineRule="auto"/>
              <w:rPr>
                <w:rFonts w:ascii="Cambria" w:hAnsi="Cambria"/>
                <w:sz w:val="20"/>
                <w:szCs w:val="20"/>
              </w:rPr>
            </w:pPr>
          </w:p>
        </w:tc>
      </w:tr>
      <w:tr w:rsidRPr="00C02345" w:rsidR="00456CED" w:rsidTr="00002EEC" w14:paraId="79D5ED8E" w14:textId="77777777">
        <w:trPr>
          <w:trHeight w:val="284"/>
        </w:trPr>
        <w:tc>
          <w:tcPr>
            <w:tcW w:w="4395" w:type="dxa"/>
          </w:tcPr>
          <w:p w:rsidRPr="00AF4E4F" w:rsidR="00456CED" w:rsidP="00456CED" w:rsidRDefault="00456CED" w14:paraId="49E37CD3" w14:textId="4F7C140E">
            <w:pPr>
              <w:spacing w:after="0" w:line="240" w:lineRule="auto"/>
              <w:rPr>
                <w:rFonts w:ascii="Cambria" w:hAnsi="Cambria"/>
                <w:sz w:val="20"/>
                <w:szCs w:val="20"/>
              </w:rPr>
            </w:pPr>
            <w:r w:rsidRPr="00AF4E4F">
              <w:rPr>
                <w:rFonts w:ascii="Cambria" w:hAnsi="Cambria"/>
                <w:sz w:val="20"/>
                <w:szCs w:val="20"/>
              </w:rPr>
              <w:t>Regenerare urbană: politici și efecte sociale</w:t>
            </w:r>
          </w:p>
        </w:tc>
        <w:tc>
          <w:tcPr>
            <w:tcW w:w="3119" w:type="dxa"/>
          </w:tcPr>
          <w:p w:rsidRPr="00C02345" w:rsidR="00456CED" w:rsidP="00456CED" w:rsidRDefault="00456CED" w14:paraId="37388CE2" w14:textId="378F7558">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0F8198F7" w14:textId="77777777">
            <w:pPr>
              <w:spacing w:after="0" w:line="240" w:lineRule="auto"/>
              <w:rPr>
                <w:rFonts w:ascii="Cambria" w:hAnsi="Cambria"/>
                <w:sz w:val="20"/>
                <w:szCs w:val="20"/>
              </w:rPr>
            </w:pPr>
          </w:p>
        </w:tc>
      </w:tr>
      <w:tr w:rsidRPr="00C02345" w:rsidR="00456CED" w:rsidTr="00002EEC" w14:paraId="4D7660B9" w14:textId="77777777">
        <w:trPr>
          <w:trHeight w:val="284"/>
        </w:trPr>
        <w:tc>
          <w:tcPr>
            <w:tcW w:w="4395" w:type="dxa"/>
          </w:tcPr>
          <w:p w:rsidRPr="00AF4E4F" w:rsidR="00456CED" w:rsidP="00456CED" w:rsidRDefault="00456CED" w14:paraId="44129933" w14:textId="1680765C">
            <w:pPr>
              <w:spacing w:after="0" w:line="240" w:lineRule="auto"/>
              <w:rPr>
                <w:rFonts w:ascii="Cambria" w:hAnsi="Cambria"/>
                <w:sz w:val="20"/>
                <w:szCs w:val="20"/>
              </w:rPr>
            </w:pPr>
            <w:r w:rsidRPr="00AF4E4F">
              <w:rPr>
                <w:rFonts w:ascii="Cambria" w:hAnsi="Cambria"/>
                <w:sz w:val="20"/>
                <w:szCs w:val="20"/>
              </w:rPr>
              <w:t>Orașul creativ: promisiuni și critici</w:t>
            </w:r>
          </w:p>
        </w:tc>
        <w:tc>
          <w:tcPr>
            <w:tcW w:w="3119" w:type="dxa"/>
          </w:tcPr>
          <w:p w:rsidRPr="00C02345" w:rsidR="00456CED" w:rsidP="00456CED" w:rsidRDefault="00456CED" w14:paraId="188C0BCD" w14:textId="15958F9B">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4FAD7BE2" w14:textId="77777777">
            <w:pPr>
              <w:spacing w:after="0" w:line="240" w:lineRule="auto"/>
              <w:rPr>
                <w:rFonts w:ascii="Cambria" w:hAnsi="Cambria"/>
                <w:sz w:val="20"/>
                <w:szCs w:val="20"/>
              </w:rPr>
            </w:pPr>
          </w:p>
        </w:tc>
      </w:tr>
      <w:tr w:rsidRPr="00C02345" w:rsidR="00456CED" w:rsidTr="00002EEC" w14:paraId="0FA727AA" w14:textId="77777777">
        <w:trPr>
          <w:trHeight w:val="284"/>
        </w:trPr>
        <w:tc>
          <w:tcPr>
            <w:tcW w:w="4395" w:type="dxa"/>
          </w:tcPr>
          <w:p w:rsidRPr="00AF4E4F" w:rsidR="00456CED" w:rsidP="00456CED" w:rsidRDefault="00456CED" w14:paraId="0F6E48D1" w14:textId="6EFA322C">
            <w:pPr>
              <w:spacing w:after="0" w:line="240" w:lineRule="auto"/>
              <w:rPr>
                <w:rFonts w:ascii="Cambria" w:hAnsi="Cambria"/>
                <w:sz w:val="20"/>
                <w:szCs w:val="20"/>
              </w:rPr>
            </w:pPr>
            <w:r w:rsidRPr="00AF4E4F">
              <w:rPr>
                <w:rFonts w:ascii="Cambria" w:hAnsi="Cambria"/>
                <w:sz w:val="20"/>
                <w:szCs w:val="20"/>
              </w:rPr>
              <w:t>Cine guvernează orașul? Actori, decizii, participare</w:t>
            </w:r>
          </w:p>
        </w:tc>
        <w:tc>
          <w:tcPr>
            <w:tcW w:w="3119" w:type="dxa"/>
          </w:tcPr>
          <w:p w:rsidRPr="00C02345" w:rsidR="00456CED" w:rsidP="00456CED" w:rsidRDefault="00456CED" w14:paraId="14EC253D" w14:textId="25B2F099">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425D4830" w14:textId="77777777">
            <w:pPr>
              <w:spacing w:after="0" w:line="240" w:lineRule="auto"/>
              <w:rPr>
                <w:rFonts w:ascii="Cambria" w:hAnsi="Cambria"/>
                <w:sz w:val="20"/>
                <w:szCs w:val="20"/>
              </w:rPr>
            </w:pPr>
          </w:p>
        </w:tc>
      </w:tr>
      <w:tr w:rsidRPr="00C02345" w:rsidR="00456CED" w:rsidTr="00002EEC" w14:paraId="73D659BD" w14:textId="77777777">
        <w:trPr>
          <w:trHeight w:val="284"/>
        </w:trPr>
        <w:tc>
          <w:tcPr>
            <w:tcW w:w="4395" w:type="dxa"/>
          </w:tcPr>
          <w:p w:rsidRPr="00AF4E4F" w:rsidR="00456CED" w:rsidP="00456CED" w:rsidRDefault="00456CED" w14:paraId="387E18C4" w14:textId="7E0FA05C">
            <w:pPr>
              <w:spacing w:after="0" w:line="240" w:lineRule="auto"/>
              <w:rPr>
                <w:rFonts w:ascii="Cambria" w:hAnsi="Cambria"/>
                <w:sz w:val="20"/>
                <w:szCs w:val="20"/>
              </w:rPr>
            </w:pPr>
            <w:r w:rsidRPr="00AF4E4F">
              <w:rPr>
                <w:rFonts w:ascii="Cambria" w:hAnsi="Cambria"/>
                <w:sz w:val="20"/>
                <w:szCs w:val="20"/>
              </w:rPr>
              <w:t>Migrație și diversitate în spațiul urban</w:t>
            </w:r>
          </w:p>
        </w:tc>
        <w:tc>
          <w:tcPr>
            <w:tcW w:w="3119" w:type="dxa"/>
          </w:tcPr>
          <w:p w:rsidRPr="00C02345" w:rsidR="00456CED" w:rsidP="00456CED" w:rsidRDefault="00456CED" w14:paraId="5888ECC5" w14:textId="5CC4D567">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17F02C0B" w14:textId="77777777">
            <w:pPr>
              <w:spacing w:after="0" w:line="240" w:lineRule="auto"/>
              <w:rPr>
                <w:rFonts w:ascii="Cambria" w:hAnsi="Cambria"/>
                <w:sz w:val="20"/>
                <w:szCs w:val="20"/>
              </w:rPr>
            </w:pPr>
          </w:p>
        </w:tc>
      </w:tr>
      <w:tr w:rsidRPr="00C02345" w:rsidR="00456CED" w:rsidTr="00002EEC" w14:paraId="7D7D415D" w14:textId="77777777">
        <w:trPr>
          <w:trHeight w:val="284"/>
        </w:trPr>
        <w:tc>
          <w:tcPr>
            <w:tcW w:w="4395" w:type="dxa"/>
          </w:tcPr>
          <w:p w:rsidRPr="00AF4E4F" w:rsidR="00456CED" w:rsidP="00456CED" w:rsidRDefault="00456CED" w14:paraId="206119C7" w14:textId="4D96B96D">
            <w:pPr>
              <w:spacing w:after="0" w:line="240" w:lineRule="auto"/>
              <w:rPr>
                <w:rFonts w:ascii="Cambria" w:hAnsi="Cambria"/>
                <w:sz w:val="20"/>
                <w:szCs w:val="20"/>
              </w:rPr>
            </w:pPr>
            <w:r w:rsidRPr="00AF4E4F">
              <w:rPr>
                <w:rFonts w:ascii="Cambria" w:hAnsi="Cambria"/>
                <w:sz w:val="20"/>
                <w:szCs w:val="20"/>
              </w:rPr>
              <w:t>Orașul și mediul: de la ecologie urbană la sustenabilitate</w:t>
            </w:r>
          </w:p>
        </w:tc>
        <w:tc>
          <w:tcPr>
            <w:tcW w:w="3119" w:type="dxa"/>
          </w:tcPr>
          <w:p w:rsidRPr="00C02345" w:rsidR="00456CED" w:rsidP="00456CED" w:rsidRDefault="00456CED" w14:paraId="4826A110" w14:textId="063BB6A0">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0CFDBE61" w14:textId="77777777">
            <w:pPr>
              <w:spacing w:after="0" w:line="240" w:lineRule="auto"/>
              <w:rPr>
                <w:rFonts w:ascii="Cambria" w:hAnsi="Cambria"/>
                <w:sz w:val="20"/>
                <w:szCs w:val="20"/>
              </w:rPr>
            </w:pPr>
          </w:p>
        </w:tc>
      </w:tr>
      <w:tr w:rsidRPr="00C02345" w:rsidR="00456CED" w:rsidTr="00002EEC" w14:paraId="5C80429B" w14:textId="77777777">
        <w:trPr>
          <w:trHeight w:val="284"/>
        </w:trPr>
        <w:tc>
          <w:tcPr>
            <w:tcW w:w="4395" w:type="dxa"/>
          </w:tcPr>
          <w:p w:rsidRPr="00AF4E4F" w:rsidR="00456CED" w:rsidP="00456CED" w:rsidRDefault="00456CED" w14:paraId="49417A7B" w14:textId="0278900B">
            <w:pPr>
              <w:spacing w:after="0" w:line="240" w:lineRule="auto"/>
              <w:rPr>
                <w:rFonts w:ascii="Cambria" w:hAnsi="Cambria"/>
                <w:sz w:val="20"/>
                <w:szCs w:val="20"/>
              </w:rPr>
            </w:pPr>
            <w:r w:rsidRPr="00AF4E4F">
              <w:rPr>
                <w:rFonts w:ascii="Cambria" w:hAnsi="Cambria"/>
                <w:sz w:val="20"/>
                <w:szCs w:val="20"/>
              </w:rPr>
              <w:t>Orașe inteligente: tehnologie, date și putere</w:t>
            </w:r>
          </w:p>
        </w:tc>
        <w:tc>
          <w:tcPr>
            <w:tcW w:w="3119" w:type="dxa"/>
          </w:tcPr>
          <w:p w:rsidRPr="00C02345" w:rsidR="00456CED" w:rsidP="00456CED" w:rsidRDefault="00456CED" w14:paraId="70049786" w14:textId="3BD9C24F">
            <w:pPr>
              <w:spacing w:after="0" w:line="240" w:lineRule="auto"/>
              <w:rPr>
                <w:rFonts w:ascii="Cambria" w:hAnsi="Cambria"/>
                <w:sz w:val="20"/>
                <w:szCs w:val="20"/>
              </w:rPr>
            </w:pPr>
            <w:r w:rsidRPr="0026614D">
              <w:rPr>
                <w:rFonts w:ascii="Cambria" w:hAnsi="Cambria"/>
                <w:sz w:val="20"/>
                <w:szCs w:val="20"/>
              </w:rPr>
              <w:t>Discuții interactive si exerciții</w:t>
            </w:r>
          </w:p>
        </w:tc>
        <w:tc>
          <w:tcPr>
            <w:tcW w:w="2977" w:type="dxa"/>
            <w:vAlign w:val="center"/>
          </w:tcPr>
          <w:p w:rsidRPr="00C02345" w:rsidR="00456CED" w:rsidP="00456CED" w:rsidRDefault="00456CED" w14:paraId="7B35DD85" w14:textId="77777777">
            <w:pPr>
              <w:spacing w:after="0" w:line="240" w:lineRule="auto"/>
              <w:rPr>
                <w:rFonts w:ascii="Cambria" w:hAnsi="Cambria"/>
                <w:sz w:val="20"/>
                <w:szCs w:val="20"/>
              </w:rPr>
            </w:pPr>
          </w:p>
        </w:tc>
      </w:tr>
      <w:tr w:rsidRPr="00C02345" w:rsidR="003F659E" w:rsidTr="00796905" w14:paraId="2512011A" w14:textId="77777777">
        <w:trPr>
          <w:trHeight w:val="284"/>
        </w:trPr>
        <w:tc>
          <w:tcPr>
            <w:tcW w:w="10491" w:type="dxa"/>
            <w:gridSpan w:val="3"/>
            <w:vAlign w:val="center"/>
          </w:tcPr>
          <w:p w:rsidR="003F659E" w:rsidP="00373CCF" w:rsidRDefault="003F659E" w14:paraId="604588F1" w14:textId="77777777">
            <w:pPr>
              <w:tabs>
                <w:tab w:val="left" w:pos="2715"/>
              </w:tabs>
              <w:spacing w:after="0" w:line="240" w:lineRule="auto"/>
              <w:rPr>
                <w:rFonts w:ascii="Cambria" w:hAnsi="Cambria"/>
                <w:sz w:val="20"/>
                <w:szCs w:val="20"/>
              </w:rPr>
            </w:pPr>
            <w:r w:rsidRPr="00C02345">
              <w:rPr>
                <w:rFonts w:ascii="Cambria" w:hAnsi="Cambria"/>
                <w:sz w:val="20"/>
                <w:szCs w:val="20"/>
              </w:rPr>
              <w:t>Bibliografie</w:t>
            </w:r>
          </w:p>
          <w:p w:rsidRPr="00C02345" w:rsidR="00AF4E4F" w:rsidP="00373CCF" w:rsidRDefault="00AF4E4F" w14:paraId="65706CFD" w14:textId="593A02D3">
            <w:pPr>
              <w:tabs>
                <w:tab w:val="left" w:pos="2715"/>
              </w:tabs>
              <w:spacing w:after="0" w:line="240" w:lineRule="auto"/>
              <w:rPr>
                <w:rFonts w:ascii="Cambria" w:hAnsi="Cambria"/>
                <w:sz w:val="20"/>
                <w:szCs w:val="20"/>
              </w:rPr>
            </w:pPr>
            <w:r>
              <w:rPr>
                <w:rFonts w:ascii="Cambria" w:hAnsi="Cambria"/>
                <w:sz w:val="20"/>
                <w:szCs w:val="20"/>
              </w:rPr>
              <w:t>Vezi bibliografia de curs</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00D77086" w14:paraId="697653B0" w14:textId="77777777">
        <w:trPr>
          <w:trHeight w:val="1356"/>
        </w:trPr>
        <w:tc>
          <w:tcPr>
            <w:tcW w:w="10491" w:type="dxa"/>
          </w:tcPr>
          <w:p w:rsidRPr="00D93FC3" w:rsidR="0084568F" w:rsidP="00D93FC3" w:rsidRDefault="00D93FC3" w14:paraId="2B940AFD" w14:textId="2DEFF34F">
            <w:pPr>
              <w:spacing w:before="120" w:after="0" w:line="240" w:lineRule="auto"/>
              <w:rPr>
                <w:rFonts w:ascii="Cambria" w:hAnsi="Cambria"/>
                <w:b/>
                <w:sz w:val="20"/>
                <w:szCs w:val="20"/>
              </w:rPr>
            </w:pPr>
            <w:r w:rsidRPr="00D93FC3">
              <w:rPr>
                <w:rFonts w:ascii="Cambria" w:hAnsi="Cambria"/>
                <w:b/>
                <w:sz w:val="20"/>
                <w:szCs w:val="20"/>
              </w:rPr>
              <w:t>Conținuturile disciplinei sunt coroborate cu așteptările comunității epistemice, ale asociațiilor profesionale și ale angajatorilor relevanți pentru programul de studii de licență în sociologie, după cum urmează</w:t>
            </w:r>
            <w:r>
              <w:rPr>
                <w:rFonts w:ascii="Cambria" w:hAnsi="Cambria"/>
                <w:b/>
                <w:sz w:val="20"/>
                <w:szCs w:val="20"/>
              </w:rPr>
              <w:t xml:space="preserve">: </w:t>
            </w:r>
            <w:r w:rsidRPr="00D93FC3">
              <w:rPr>
                <w:rFonts w:ascii="Cambria" w:hAnsi="Cambria"/>
                <w:b/>
                <w:sz w:val="20"/>
                <w:szCs w:val="20"/>
              </w:rPr>
              <w:t>Tematica acoperă concepte și dezbateri centrale din sociologia urbană contemporană, în acord cu standardele disciplinare promovate de asociații profesionale</w:t>
            </w:r>
            <w:r>
              <w:rPr>
                <w:rFonts w:ascii="Cambria" w:hAnsi="Cambria"/>
                <w:b/>
                <w:sz w:val="20"/>
                <w:szCs w:val="20"/>
              </w:rPr>
              <w:t>.</w:t>
            </w:r>
            <w:r w:rsidR="00D77086">
              <w:rPr>
                <w:rFonts w:ascii="Cambria" w:hAnsi="Cambria"/>
                <w:b/>
                <w:sz w:val="20"/>
                <w:szCs w:val="20"/>
              </w:rPr>
              <w:t xml:space="preserve"> </w:t>
            </w:r>
            <w:r w:rsidRPr="00D77086" w:rsidR="00D77086">
              <w:rPr>
                <w:rFonts w:ascii="Cambria" w:hAnsi="Cambria"/>
                <w:b/>
                <w:sz w:val="20"/>
                <w:szCs w:val="20"/>
              </w:rPr>
              <w:t>Din perspectiva angajatorilor, disciplina dezvoltă competențe direct aplicabile în ocupații relevante pentru absolvenții de sociologie</w:t>
            </w:r>
            <w:r w:rsidR="00D77086">
              <w:rPr>
                <w:rFonts w:ascii="Cambria" w:hAnsi="Cambria"/>
                <w:b/>
                <w:sz w:val="20"/>
                <w:szCs w:val="20"/>
              </w:rPr>
              <w:t>.</w:t>
            </w:r>
          </w:p>
        </w:tc>
      </w:tr>
    </w:tbl>
    <w:p w:rsidR="00D77086" w:rsidP="00357598" w:rsidRDefault="00D77086" w14:paraId="7AFFF3E2" w14:textId="77777777">
      <w:pPr>
        <w:spacing w:after="0"/>
        <w:ind w:hanging="425"/>
        <w:rPr>
          <w:rFonts w:ascii="Cambria" w:hAnsi="Cambria"/>
          <w:b/>
          <w:sz w:val="20"/>
          <w:szCs w:val="20"/>
        </w:rPr>
      </w:pPr>
    </w:p>
    <w:p w:rsidR="000B6EB1" w:rsidP="00357598" w:rsidRDefault="0084568F" w14:paraId="20194EDF" w14:textId="15B5D02C">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0014533E" w14:paraId="06629255" w14:textId="77777777">
        <w:trPr>
          <w:trHeight w:val="284"/>
        </w:trPr>
        <w:tc>
          <w:tcPr>
            <w:tcW w:w="2839" w:type="dxa"/>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0014533E" w14:paraId="3DDA6B4F" w14:textId="77777777">
        <w:trPr>
          <w:trHeight w:val="284"/>
        </w:trPr>
        <w:tc>
          <w:tcPr>
            <w:tcW w:w="2839" w:type="dxa"/>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rsidRPr="00357598" w:rsidR="00357598" w:rsidP="00373CCF" w:rsidRDefault="00357598" w14:paraId="72A7F566" w14:textId="77777777">
            <w:pPr>
              <w:spacing w:after="0" w:line="240" w:lineRule="auto"/>
              <w:rPr>
                <w:rFonts w:ascii="Cambria" w:hAnsi="Cambria"/>
                <w:sz w:val="20"/>
                <w:szCs w:val="20"/>
              </w:rPr>
            </w:pPr>
          </w:p>
        </w:tc>
        <w:tc>
          <w:tcPr>
            <w:tcW w:w="2409" w:type="dxa"/>
            <w:vAlign w:val="center"/>
          </w:tcPr>
          <w:p w:rsidRPr="00357598" w:rsidR="00357598" w:rsidP="00373CCF" w:rsidRDefault="0014533E" w14:paraId="307E3AAC" w14:textId="2B0D6F25">
            <w:pPr>
              <w:spacing w:after="0" w:line="240" w:lineRule="auto"/>
              <w:rPr>
                <w:rFonts w:ascii="Cambria" w:hAnsi="Cambria"/>
                <w:sz w:val="20"/>
                <w:szCs w:val="20"/>
              </w:rPr>
            </w:pPr>
            <w:r>
              <w:rPr>
                <w:rFonts w:ascii="Cambria" w:hAnsi="Cambria"/>
                <w:sz w:val="20"/>
                <w:szCs w:val="20"/>
              </w:rPr>
              <w:t>Examen scris</w:t>
            </w:r>
          </w:p>
        </w:tc>
        <w:tc>
          <w:tcPr>
            <w:tcW w:w="2694" w:type="dxa"/>
            <w:vAlign w:val="center"/>
          </w:tcPr>
          <w:p w:rsidRPr="00357598" w:rsidR="00357598" w:rsidP="00373CCF" w:rsidRDefault="0014533E" w14:paraId="759DB29F" w14:textId="608F5D51">
            <w:pPr>
              <w:spacing w:after="0" w:line="240" w:lineRule="auto"/>
              <w:rPr>
                <w:rFonts w:ascii="Cambria" w:hAnsi="Cambria"/>
                <w:sz w:val="20"/>
                <w:szCs w:val="20"/>
              </w:rPr>
            </w:pPr>
            <w:r>
              <w:rPr>
                <w:rFonts w:ascii="Cambria" w:hAnsi="Cambria"/>
                <w:sz w:val="20"/>
                <w:szCs w:val="20"/>
              </w:rPr>
              <w:t>50%</w:t>
            </w:r>
          </w:p>
        </w:tc>
      </w:tr>
      <w:tr w:rsidRPr="0039068A" w:rsidR="00357598" w:rsidTr="0014533E" w14:paraId="4000A1C8" w14:textId="77777777">
        <w:trPr>
          <w:trHeight w:val="284"/>
        </w:trPr>
        <w:tc>
          <w:tcPr>
            <w:tcW w:w="2839" w:type="dxa"/>
            <w:vMerge w:val="restart"/>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rsidRPr="00357598" w:rsidR="00357598" w:rsidP="00373CCF" w:rsidRDefault="00357598" w14:paraId="656A98BB" w14:textId="77777777">
            <w:pPr>
              <w:spacing w:after="0" w:line="240" w:lineRule="auto"/>
              <w:rPr>
                <w:rFonts w:ascii="Cambria" w:hAnsi="Cambria"/>
                <w:sz w:val="20"/>
                <w:szCs w:val="20"/>
              </w:rPr>
            </w:pPr>
          </w:p>
        </w:tc>
        <w:tc>
          <w:tcPr>
            <w:tcW w:w="2409" w:type="dxa"/>
            <w:vAlign w:val="center"/>
          </w:tcPr>
          <w:p w:rsidRPr="00357598" w:rsidR="00357598" w:rsidP="00373CCF" w:rsidRDefault="0014533E" w14:paraId="45722AA8" w14:textId="512E0D7D">
            <w:pPr>
              <w:spacing w:after="0" w:line="240" w:lineRule="auto"/>
              <w:rPr>
                <w:rFonts w:ascii="Cambria" w:hAnsi="Cambria"/>
                <w:sz w:val="20"/>
                <w:szCs w:val="20"/>
              </w:rPr>
            </w:pPr>
            <w:r>
              <w:rPr>
                <w:rFonts w:ascii="Cambria" w:hAnsi="Cambria"/>
                <w:sz w:val="20"/>
                <w:szCs w:val="20"/>
              </w:rPr>
              <w:t>Proiect de cercetare</w:t>
            </w:r>
          </w:p>
        </w:tc>
        <w:tc>
          <w:tcPr>
            <w:tcW w:w="2694" w:type="dxa"/>
            <w:vAlign w:val="center"/>
          </w:tcPr>
          <w:p w:rsidRPr="00357598" w:rsidR="00357598" w:rsidP="00373CCF" w:rsidRDefault="0014533E" w14:paraId="47DB3803" w14:textId="685ED467">
            <w:pPr>
              <w:spacing w:after="0" w:line="240" w:lineRule="auto"/>
              <w:rPr>
                <w:rFonts w:ascii="Cambria" w:hAnsi="Cambria"/>
                <w:sz w:val="20"/>
                <w:szCs w:val="20"/>
              </w:rPr>
            </w:pPr>
            <w:r>
              <w:rPr>
                <w:rFonts w:ascii="Cambria" w:hAnsi="Cambria"/>
                <w:sz w:val="20"/>
                <w:szCs w:val="20"/>
              </w:rPr>
              <w:t>40%</w:t>
            </w:r>
          </w:p>
        </w:tc>
      </w:tr>
      <w:tr w:rsidRPr="0039068A" w:rsidR="00357598" w:rsidTr="0014533E" w14:paraId="2C56DD2A" w14:textId="77777777">
        <w:trPr>
          <w:trHeight w:val="284"/>
        </w:trPr>
        <w:tc>
          <w:tcPr>
            <w:tcW w:w="2839" w:type="dxa"/>
            <w:vMerge/>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vAlign w:val="center"/>
          </w:tcPr>
          <w:p w:rsidRPr="00357598" w:rsidR="00357598" w:rsidP="00373CCF" w:rsidRDefault="0014533E" w14:paraId="24AF3BCF" w14:textId="152522E7">
            <w:pPr>
              <w:spacing w:after="0" w:line="240" w:lineRule="auto"/>
              <w:rPr>
                <w:rFonts w:ascii="Cambria" w:hAnsi="Cambria"/>
                <w:sz w:val="20"/>
                <w:szCs w:val="20"/>
              </w:rPr>
            </w:pPr>
            <w:r>
              <w:rPr>
                <w:rFonts w:ascii="Cambria" w:hAnsi="Cambria"/>
                <w:sz w:val="20"/>
                <w:szCs w:val="20"/>
              </w:rPr>
              <w:t>Activitate pe parcurs</w:t>
            </w:r>
          </w:p>
        </w:tc>
        <w:tc>
          <w:tcPr>
            <w:tcW w:w="2694" w:type="dxa"/>
            <w:vAlign w:val="center"/>
          </w:tcPr>
          <w:p w:rsidRPr="00357598" w:rsidR="00357598" w:rsidP="00373CCF" w:rsidRDefault="0014533E" w14:paraId="7196415F" w14:textId="23316931">
            <w:pPr>
              <w:spacing w:after="0" w:line="240" w:lineRule="auto"/>
              <w:rPr>
                <w:rFonts w:ascii="Cambria" w:hAnsi="Cambria"/>
                <w:sz w:val="20"/>
                <w:szCs w:val="20"/>
              </w:rPr>
            </w:pPr>
            <w:r>
              <w:rPr>
                <w:rFonts w:ascii="Cambria" w:hAnsi="Cambria"/>
                <w:sz w:val="20"/>
                <w:szCs w:val="20"/>
              </w:rPr>
              <w:t>10%</w:t>
            </w:r>
          </w:p>
        </w:tc>
      </w:tr>
      <w:tr w:rsidRPr="0039068A" w:rsidR="00357598" w:rsidTr="0014533E" w14:paraId="17F47F67" w14:textId="77777777">
        <w:trPr>
          <w:trHeight w:val="284"/>
        </w:trPr>
        <w:tc>
          <w:tcPr>
            <w:tcW w:w="10492" w:type="dxa"/>
            <w:gridSpan w:val="4"/>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0014533E" w14:paraId="6CA55508" w14:textId="77777777">
        <w:trPr>
          <w:trHeight w:val="284"/>
        </w:trPr>
        <w:tc>
          <w:tcPr>
            <w:tcW w:w="10492" w:type="dxa"/>
            <w:gridSpan w:val="4"/>
          </w:tcPr>
          <w:p w:rsidRPr="00357598" w:rsidR="00357598" w:rsidP="0014533E" w:rsidRDefault="0014533E" w14:paraId="19C84765" w14:textId="4270A34B">
            <w:pPr>
              <w:spacing w:before="120" w:after="0" w:line="240" w:lineRule="auto"/>
              <w:rPr>
                <w:rFonts w:ascii="Cambria" w:hAnsi="Cambria"/>
                <w:sz w:val="20"/>
                <w:szCs w:val="20"/>
              </w:rPr>
            </w:pPr>
            <w:r>
              <w:rPr>
                <w:rFonts w:ascii="Cambria" w:hAnsi="Cambria"/>
                <w:sz w:val="20"/>
                <w:szCs w:val="20"/>
              </w:rPr>
              <w:t>Respectarea normelor de deontologie profesională</w:t>
            </w:r>
          </w:p>
          <w:p w:rsidRPr="00357598" w:rsidR="00357598" w:rsidP="00373CCF" w:rsidRDefault="00357598" w14:paraId="6766C520" w14:textId="77777777">
            <w:pPr>
              <w:spacing w:after="0" w:line="240" w:lineRule="auto"/>
              <w:rPr>
                <w:rFonts w:ascii="Cambria" w:hAnsi="Cambria"/>
                <w:sz w:val="20"/>
                <w:szCs w:val="20"/>
              </w:rPr>
            </w:pPr>
          </w:p>
        </w:tc>
      </w:tr>
    </w:tbl>
    <w:p w:rsidR="0014533E" w:rsidP="006A3DD3" w:rsidRDefault="0014533E" w14:paraId="16A7D088" w14:textId="77777777">
      <w:pPr>
        <w:spacing w:after="0"/>
        <w:ind w:hanging="425"/>
        <w:rPr>
          <w:rFonts w:ascii="Cambria" w:hAnsi="Cambria"/>
          <w:b/>
          <w:sz w:val="20"/>
          <w:szCs w:val="20"/>
        </w:rPr>
      </w:pPr>
    </w:p>
    <w:p w:rsidR="006A3DD3" w:rsidP="006A3DD3" w:rsidRDefault="006A3DD3" w14:paraId="0D47838B" w14:textId="47335099">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p>
    <w:tbl>
      <w:tblPr>
        <w:tblStyle w:val="TableGrid"/>
        <w:tblW w:w="10491" w:type="dxa"/>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634B8E"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634B8E" w14:paraId="07213EB9" w14:textId="77777777">
        <w:trPr>
          <w:trHeight w:val="1124"/>
        </w:trPr>
        <w:tc>
          <w:tcPr>
            <w:tcW w:w="1165" w:type="dxa"/>
            <w:vAlign w:val="center"/>
          </w:tcPr>
          <w:p w:rsidRPr="00E027F6" w:rsidR="001253AA" w:rsidP="00373CCF" w:rsidRDefault="001253AA" w14:paraId="303421C5" w14:textId="26FBC6BE">
            <w:pPr>
              <w:rPr>
                <w:rFonts w:ascii="Cambria" w:hAnsi="Cambria"/>
              </w:rPr>
            </w:pP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45B3355F">
            <w:pPr>
              <w:rPr>
                <w:rFonts w:ascii="Cambria" w:hAnsi="Cambria"/>
              </w:rPr>
            </w:pPr>
          </w:p>
        </w:tc>
        <w:tc>
          <w:tcPr>
            <w:tcW w:w="1165" w:type="dxa"/>
            <w:vAlign w:val="center"/>
          </w:tcPr>
          <w:p w:rsidRPr="00E027F6" w:rsidR="001253AA" w:rsidP="00373CCF" w:rsidRDefault="001253AA" w14:paraId="3C58DF13" w14:textId="071369DD">
            <w:pPr>
              <w:rPr>
                <w:rFonts w:ascii="Cambria" w:hAnsi="Cambria"/>
              </w:rPr>
            </w:pPr>
          </w:p>
        </w:tc>
        <w:tc>
          <w:tcPr>
            <w:tcW w:w="1166" w:type="dxa"/>
            <w:vAlign w:val="center"/>
          </w:tcPr>
          <w:p w:rsidRPr="00E027F6" w:rsidR="001253AA" w:rsidP="00373CCF" w:rsidRDefault="001253AA" w14:paraId="38729EAA" w14:textId="0ED0E96D">
            <w:pPr>
              <w:rPr>
                <w:rFonts w:ascii="Cambria" w:hAnsi="Cambria"/>
              </w:rPr>
            </w:pPr>
          </w:p>
        </w:tc>
        <w:tc>
          <w:tcPr>
            <w:tcW w:w="1166" w:type="dxa"/>
            <w:vAlign w:val="center"/>
          </w:tcPr>
          <w:p w:rsidRPr="00E027F6" w:rsidR="001253AA" w:rsidP="00373CCF" w:rsidRDefault="001253AA" w14:paraId="203DB388" w14:textId="7F97BF87">
            <w:pPr>
              <w:rPr>
                <w:rFonts w:ascii="Cambria" w:hAnsi="Cambria"/>
              </w:rPr>
            </w:pPr>
          </w:p>
        </w:tc>
        <w:tc>
          <w:tcPr>
            <w:tcW w:w="1165" w:type="dxa"/>
            <w:vAlign w:val="center"/>
          </w:tcPr>
          <w:p w:rsidRPr="00E027F6" w:rsidR="001253AA" w:rsidP="00373CCF" w:rsidRDefault="001253AA" w14:paraId="7A1D1EBA" w14:textId="4C821C11">
            <w:pPr>
              <w:rPr>
                <w:rFonts w:ascii="Cambria" w:hAnsi="Cambria"/>
              </w:rPr>
            </w:pPr>
          </w:p>
        </w:tc>
        <w:tc>
          <w:tcPr>
            <w:tcW w:w="1166" w:type="dxa"/>
            <w:vAlign w:val="center"/>
          </w:tcPr>
          <w:p w:rsidRPr="00E027F6" w:rsidR="001253AA" w:rsidP="00373CCF" w:rsidRDefault="001253AA" w14:paraId="4A30B9DC" w14:textId="62D67445">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02518F3"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lastRenderedPageBreak/>
              <w:t>Data completării:</w:t>
            </w:r>
          </w:p>
          <w:p w:rsidRPr="003C197C" w:rsidR="003C197C" w:rsidP="00C0333B" w:rsidRDefault="00634B8E" w14:paraId="6F85EC4B" w14:textId="17A83BDE">
            <w:pPr>
              <w:rPr>
                <w:rFonts w:ascii="Cambria" w:hAnsi="Cambria"/>
              </w:rPr>
            </w:pPr>
            <w:r>
              <w:rPr>
                <w:rFonts w:ascii="Cambria" w:hAnsi="Cambria"/>
              </w:rPr>
              <w:t>01.09.2025</w:t>
            </w: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634B8E" w14:paraId="0F5C8287" w14:textId="462DB0E0">
            <w:pPr>
              <w:spacing w:line="480" w:lineRule="auto"/>
              <w:rPr>
                <w:rFonts w:ascii="Cambria" w:hAnsi="Cambria"/>
              </w:rPr>
            </w:pPr>
            <w:r>
              <w:rPr>
                <w:rFonts w:ascii="Cambria" w:hAnsi="Cambria"/>
              </w:rPr>
              <w:t>Norbert Petrovici</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002518F3"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634B8E" w14:paraId="714DB94C" w14:textId="5E525588">
            <w:pPr>
              <w:spacing w:line="480" w:lineRule="auto"/>
              <w:rPr>
                <w:rFonts w:ascii="Cambria" w:hAnsi="Cambria"/>
              </w:rPr>
            </w:pPr>
            <w:r>
              <w:rPr>
                <w:rFonts w:ascii="Cambria" w:hAnsi="Cambria"/>
              </w:rPr>
              <w:t>10.09.2025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634B8E" w14:paraId="6ACF21FC" w14:textId="4868A5C3">
            <w:pPr>
              <w:spacing w:line="480" w:lineRule="auto"/>
              <w:rPr>
                <w:rFonts w:ascii="Cambria" w:hAnsi="Cambria"/>
              </w:rPr>
            </w:pPr>
            <w:r>
              <w:rPr>
                <w:rFonts w:ascii="Cambria" w:hAnsi="Cambria"/>
              </w:rPr>
              <w:t>Ionut Foldes</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772" w:rsidP="00D12BC3" w:rsidRDefault="00C95772" w14:paraId="3BBD3175" w14:textId="77777777">
      <w:pPr>
        <w:spacing w:after="0" w:line="240" w:lineRule="auto"/>
      </w:pPr>
      <w:r>
        <w:separator/>
      </w:r>
    </w:p>
  </w:endnote>
  <w:endnote w:type="continuationSeparator" w:id="0">
    <w:p w:rsidR="00C95772" w:rsidP="00D12BC3" w:rsidRDefault="00C95772" w14:paraId="1CCF64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772" w:rsidP="00D12BC3" w:rsidRDefault="00C95772" w14:paraId="7661E96C" w14:textId="77777777">
      <w:pPr>
        <w:spacing w:after="0" w:line="240" w:lineRule="auto"/>
      </w:pPr>
      <w:r>
        <w:separator/>
      </w:r>
    </w:p>
  </w:footnote>
  <w:footnote w:type="continuationSeparator" w:id="0">
    <w:p w:rsidR="00C95772" w:rsidP="00D12BC3" w:rsidRDefault="00C95772" w14:paraId="59B3DFB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4C2AED8"/>
    <w:multiLevelType w:val="hybridMultilevel"/>
    <w:tmpl w:val="068A3C8E"/>
    <w:lvl w:ilvl="0" w:tplc="7FC425FC">
      <w:start w:val="1"/>
      <w:numFmt w:val="bullet"/>
      <w:lvlText w:val=""/>
      <w:lvlJc w:val="left"/>
      <w:pPr>
        <w:ind w:left="720" w:hanging="360"/>
      </w:pPr>
      <w:rPr>
        <w:rFonts w:hint="default" w:ascii="Symbol" w:hAnsi="Symbol"/>
      </w:rPr>
    </w:lvl>
    <w:lvl w:ilvl="1" w:tplc="7F6CD6C0">
      <w:start w:val="1"/>
      <w:numFmt w:val="bullet"/>
      <w:lvlText w:val="o"/>
      <w:lvlJc w:val="left"/>
      <w:pPr>
        <w:ind w:left="1440" w:hanging="360"/>
      </w:pPr>
      <w:rPr>
        <w:rFonts w:hint="default" w:ascii="Courier New" w:hAnsi="Courier New"/>
      </w:rPr>
    </w:lvl>
    <w:lvl w:ilvl="2" w:tplc="3A86987C">
      <w:start w:val="1"/>
      <w:numFmt w:val="bullet"/>
      <w:lvlText w:val=""/>
      <w:lvlJc w:val="left"/>
      <w:pPr>
        <w:ind w:left="2160" w:hanging="360"/>
      </w:pPr>
      <w:rPr>
        <w:rFonts w:hint="default" w:ascii="Wingdings" w:hAnsi="Wingdings"/>
      </w:rPr>
    </w:lvl>
    <w:lvl w:ilvl="3" w:tplc="599E8DC2">
      <w:start w:val="1"/>
      <w:numFmt w:val="bullet"/>
      <w:lvlText w:val=""/>
      <w:lvlJc w:val="left"/>
      <w:pPr>
        <w:ind w:left="2880" w:hanging="360"/>
      </w:pPr>
      <w:rPr>
        <w:rFonts w:hint="default" w:ascii="Symbol" w:hAnsi="Symbol"/>
      </w:rPr>
    </w:lvl>
    <w:lvl w:ilvl="4" w:tplc="F4EEF62C">
      <w:start w:val="1"/>
      <w:numFmt w:val="bullet"/>
      <w:lvlText w:val="o"/>
      <w:lvlJc w:val="left"/>
      <w:pPr>
        <w:ind w:left="3600" w:hanging="360"/>
      </w:pPr>
      <w:rPr>
        <w:rFonts w:hint="default" w:ascii="Courier New" w:hAnsi="Courier New"/>
      </w:rPr>
    </w:lvl>
    <w:lvl w:ilvl="5" w:tplc="A7B0AD1C">
      <w:start w:val="1"/>
      <w:numFmt w:val="bullet"/>
      <w:lvlText w:val=""/>
      <w:lvlJc w:val="left"/>
      <w:pPr>
        <w:ind w:left="4320" w:hanging="360"/>
      </w:pPr>
      <w:rPr>
        <w:rFonts w:hint="default" w:ascii="Wingdings" w:hAnsi="Wingdings"/>
      </w:rPr>
    </w:lvl>
    <w:lvl w:ilvl="6" w:tplc="77C06C1A">
      <w:start w:val="1"/>
      <w:numFmt w:val="bullet"/>
      <w:lvlText w:val=""/>
      <w:lvlJc w:val="left"/>
      <w:pPr>
        <w:ind w:left="5040" w:hanging="360"/>
      </w:pPr>
      <w:rPr>
        <w:rFonts w:hint="default" w:ascii="Symbol" w:hAnsi="Symbol"/>
      </w:rPr>
    </w:lvl>
    <w:lvl w:ilvl="7" w:tplc="8B4C5734">
      <w:start w:val="1"/>
      <w:numFmt w:val="bullet"/>
      <w:lvlText w:val="o"/>
      <w:lvlJc w:val="left"/>
      <w:pPr>
        <w:ind w:left="5760" w:hanging="360"/>
      </w:pPr>
      <w:rPr>
        <w:rFonts w:hint="default" w:ascii="Courier New" w:hAnsi="Courier New"/>
      </w:rPr>
    </w:lvl>
    <w:lvl w:ilvl="8" w:tplc="C92E61C4">
      <w:start w:val="1"/>
      <w:numFmt w:val="bullet"/>
      <w:lvlText w:val=""/>
      <w:lvlJc w:val="left"/>
      <w:pPr>
        <w:ind w:left="6480" w:hanging="360"/>
      </w:pPr>
      <w:rPr>
        <w:rFonts w:hint="default" w:ascii="Wingdings" w:hAnsi="Wingdings"/>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68596316">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33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5FB0"/>
    <w:rsid w:val="003F659E"/>
    <w:rsid w:val="00405204"/>
    <w:rsid w:val="0042330E"/>
    <w:rsid w:val="00426637"/>
    <w:rsid w:val="00443956"/>
    <w:rsid w:val="00453436"/>
    <w:rsid w:val="00456CED"/>
    <w:rsid w:val="004613CA"/>
    <w:rsid w:val="00462E8E"/>
    <w:rsid w:val="00464F71"/>
    <w:rsid w:val="004675C5"/>
    <w:rsid w:val="0048430F"/>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34B8E"/>
    <w:rsid w:val="00664C83"/>
    <w:rsid w:val="00671A16"/>
    <w:rsid w:val="00680053"/>
    <w:rsid w:val="00687EE7"/>
    <w:rsid w:val="00694E26"/>
    <w:rsid w:val="006A3DD3"/>
    <w:rsid w:val="006B2EAE"/>
    <w:rsid w:val="006B6ABF"/>
    <w:rsid w:val="006D648A"/>
    <w:rsid w:val="006E276B"/>
    <w:rsid w:val="006F32EA"/>
    <w:rsid w:val="00706E3A"/>
    <w:rsid w:val="00720B25"/>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AF4E4F"/>
    <w:rsid w:val="00B417DB"/>
    <w:rsid w:val="00BC380C"/>
    <w:rsid w:val="00BC7CDE"/>
    <w:rsid w:val="00BD2AA4"/>
    <w:rsid w:val="00BD3CB2"/>
    <w:rsid w:val="00BE3534"/>
    <w:rsid w:val="00BF17DD"/>
    <w:rsid w:val="00BF2C1C"/>
    <w:rsid w:val="00BF4F61"/>
    <w:rsid w:val="00C02345"/>
    <w:rsid w:val="00C0333B"/>
    <w:rsid w:val="00C163AF"/>
    <w:rsid w:val="00C3571C"/>
    <w:rsid w:val="00C76710"/>
    <w:rsid w:val="00C9513E"/>
    <w:rsid w:val="00C95772"/>
    <w:rsid w:val="00CA412A"/>
    <w:rsid w:val="00CB66F3"/>
    <w:rsid w:val="00CC781A"/>
    <w:rsid w:val="00CE2BF2"/>
    <w:rsid w:val="00D00111"/>
    <w:rsid w:val="00D06D01"/>
    <w:rsid w:val="00D12BC3"/>
    <w:rsid w:val="00D2397E"/>
    <w:rsid w:val="00D34861"/>
    <w:rsid w:val="00D44828"/>
    <w:rsid w:val="00D51618"/>
    <w:rsid w:val="00D60DDF"/>
    <w:rsid w:val="00D70267"/>
    <w:rsid w:val="00D77086"/>
    <w:rsid w:val="00D80899"/>
    <w:rsid w:val="00D93FC3"/>
    <w:rsid w:val="00D94607"/>
    <w:rsid w:val="00DC236E"/>
    <w:rsid w:val="00DD2809"/>
    <w:rsid w:val="00DE6B49"/>
    <w:rsid w:val="00DE7243"/>
    <w:rsid w:val="00E027F6"/>
    <w:rsid w:val="00E03DC8"/>
    <w:rsid w:val="00E27C90"/>
    <w:rsid w:val="00E31810"/>
    <w:rsid w:val="00E31D23"/>
    <w:rsid w:val="00E463DB"/>
    <w:rsid w:val="00E54B8B"/>
    <w:rsid w:val="00E56D7A"/>
    <w:rsid w:val="00E674CE"/>
    <w:rsid w:val="00E724BA"/>
    <w:rsid w:val="00EE74EA"/>
    <w:rsid w:val="00EF1903"/>
    <w:rsid w:val="00F01F2B"/>
    <w:rsid w:val="00F52A38"/>
    <w:rsid w:val="00F65EFF"/>
    <w:rsid w:val="00F708DA"/>
    <w:rsid w:val="00F76D8F"/>
    <w:rsid w:val="00F81966"/>
    <w:rsid w:val="00F85E5C"/>
    <w:rsid w:val="00F974CE"/>
    <w:rsid w:val="00FA3D17"/>
    <w:rsid w:val="00FA7471"/>
    <w:rsid w:val="00FB5485"/>
    <w:rsid w:val="00FC204E"/>
    <w:rsid w:val="00FD3B76"/>
    <w:rsid w:val="02D3A8B0"/>
    <w:rsid w:val="09D6D244"/>
    <w:rsid w:val="2EBF4333"/>
    <w:rsid w:val="3D88996B"/>
    <w:rsid w:val="3FBA8B3D"/>
    <w:rsid w:val="54FE2113"/>
    <w:rsid w:val="60231CC5"/>
    <w:rsid w:val="60D2FCC9"/>
    <w:rsid w:val="70B13970"/>
    <w:rsid w:val="7AA0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Anca-Ioana Chiș</lastModifiedBy>
  <revision>25</revision>
  <dcterms:created xsi:type="dcterms:W3CDTF">2025-07-30T11:18:00.0000000Z</dcterms:created>
  <dcterms:modified xsi:type="dcterms:W3CDTF">2026-05-29T08:26:32.8264956Z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660d276f-419e-4f47-9698-759bf065683a</vt:lpwstr>
  </property>
</Properties>
</file>