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0A788A56" w:rsidR="00C20E33" w:rsidRPr="00797C16" w:rsidRDefault="008C1F7C" w:rsidP="00C60F8E">
            <w:pPr>
              <w:suppressAutoHyphens/>
              <w:spacing w:after="0" w:line="240" w:lineRule="auto"/>
              <w:jc w:val="center"/>
              <w:rPr>
                <w:rFonts w:ascii="Cambria" w:eastAsia="Times New Roman" w:hAnsi="Cambria" w:cs="Times New Roman"/>
                <w:color w:val="FF0000"/>
                <w:sz w:val="20"/>
                <w:lang w:eastAsia="zh-CN"/>
              </w:rPr>
            </w:pPr>
            <w:r>
              <w:rPr>
                <w:rFonts w:ascii="Cambria" w:eastAsia="Times New Roman" w:hAnsi="Cambria" w:cs="Times New Roman"/>
                <w:sz w:val="20"/>
                <w:lang w:eastAsia="zh-CN"/>
              </w:rPr>
              <w:t>2</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Tutoriat (consiliere profesională)</w:t>
            </w:r>
          </w:p>
        </w:tc>
        <w:tc>
          <w:tcPr>
            <w:tcW w:w="567" w:type="dxa"/>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Alte activităţi</w:t>
            </w:r>
          </w:p>
        </w:tc>
        <w:tc>
          <w:tcPr>
            <w:tcW w:w="567" w:type="dxa"/>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A23554">
        <w:trPr>
          <w:cantSplit/>
          <w:trHeight w:val="2884"/>
        </w:trPr>
        <w:tc>
          <w:tcPr>
            <w:tcW w:w="852" w:type="dxa"/>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1 Cunoaşterea şi înţelegerea contextelor şi rolurilor socioculturale, a convenţiilor de comunicare orală şi scrisă în limba engleză în termeni de receptare (citit/ascultat), producere (scris/oral) şi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2 Cunoaşterea şi înţelegerea contextelor şi rolurilor, precum şi a conceptelor, metodelor şi a discursului/limbajului specific diverselor situaţii de comunicare profesională în mediul academic de limba engleză, cu accent pe situaţia retorică, formele de comunicare scrisă şi orală, etapele procesului de scriere, produsele scrisului academic din aria ştiinţelor sociale/exacte/umaniste, deontologia profesională şi recunoaşterea situaţiilor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C2 1 Interpretarea relaţiei dintre mesajul oral sau scris şi contextul său, identificarea tehnicilor argumentative şi de construcţie a mesajului  de tip stiintific în limba engleză, cu precădere în situaţii de comunicare academică şi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C2 2 Utilizarea cunoştinţelor de bază pentru explicarea şi interpretarea diverselor modalităţi de comunicare scrisă în aria ştiinţelor sociale/exacte/umaniste (manuale, articole de specialitate, comunicări ştiinţifice, rapoarte de cercetare, prefeţe şi introduceri la cărţi de specialitate, recenzii de carte de specialitate – suport scris şi electronic), a convenţiilor ce guvernează redactarea acestor texte precum şi recunoaşterea situaţiilor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C3 1 Transferul conceptelor/principiilor/metodelor învăţate în activităţi ghidate de receptare a textului scris (lectură critică) şi de producere (redactare) vizând etapele procesului de scriere (planificarea, redactarea pe ciornă, revizuirea şi forma finală), prezentarea şi dezvoltarea ideilor, structura textului (globală şi locală), strategiile de dezvoltare a vocabularului de specialitate, comunicarea verbală eficientă (stilul), construirea argumentaţiei la standardele specifice ale limbii străine utilizate pentru studiu şi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şi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C4 1 Receptarea critică si producerea de mesaje orale sau scrise specifice comunicării ştiinţifice la nivel universitar (prezentări de proiecte, referate, recenzii, comunicări, lucrări de licenţă etc.) în limba modernă.</w:t>
            </w:r>
            <w:r w:rsidRPr="0054261C">
              <w:rPr>
                <w:rFonts w:ascii="Times New Roman" w:hAnsi="Times New Roman"/>
                <w:sz w:val="20"/>
                <w:szCs w:val="20"/>
              </w:rPr>
              <w:br/>
            </w:r>
            <w:r w:rsidRPr="0054261C">
              <w:rPr>
                <w:rFonts w:ascii="Times New Roman" w:hAnsi="Times New Roman"/>
                <w:color w:val="000000"/>
                <w:sz w:val="20"/>
                <w:szCs w:val="20"/>
              </w:rPr>
              <w:t>Utilizarea cu discernământ si probitate ştiinţifică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C4 2 Utilizarea grilelor de criterii standard ale comunităţii academice/profesionale, cu accent pe cele practicate de publicaţiile ştiinţifice internaţionale în aria ştiinţelor sociale/exacte/umaniste, pentru evaluarea calităţii produselor academice (orale şi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C5 Elaborarea unor lucrări scrise şi prezentări orale originale în limba engleă care să utilizeze principiile şi tehnicile de redactare consacrate în mediul academic, cu accent pe genurile predilecte din aria de specializare: eseul (descriptiv, comparativ, argumentativ etc), raportul de cercetare, articolul ştiinţific, recenzia/prezentarea de carte, bibliografia adnotată, prezentarea la conferinţe etc. Aceste produse vor fi elaborate pe baza lucrărilor curente ale studenţilor în domeniul de specializare.</w:t>
            </w:r>
          </w:p>
        </w:tc>
      </w:tr>
      <w:tr w:rsidR="00551CC4" w:rsidRPr="00797C16" w14:paraId="1F728DFD" w14:textId="77777777" w:rsidTr="00A23554">
        <w:trPr>
          <w:cantSplit/>
          <w:trHeight w:val="1775"/>
        </w:trPr>
        <w:tc>
          <w:tcPr>
            <w:tcW w:w="852" w:type="dxa"/>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CT1 Realizarea sarcinilor de lucru individuale pe baza modelelor de scriere şi cu asistenţa profesorului, concretizate într-un portofoliu individual. Utilizarea componentelor domeniului studiului academic în limba străină în deplină concordanţă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CT 2 Participarea la realizarea de proiecte de lucru în perechi şi în echipă, cu accent pe familiarizarea cu rolurile în cadrul echipei de lucru în mediu academic, concretizate în prezentări de tip comunicare de conferinţă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Conştientizarea nevoii de formare continuă cu accent pe consolidarea şi dezvoltarea cunoştinţelor de bază ale managementului propriei învăţări privind diferenţele interindividuale, de gen şi culturale, în procesarea informaţiei. Utilizarea eficientă a unor instrumente de muncă intelectuală şi a resurselor/tehnicilor/strategiilor de învăţare: lectura rapidă, fişa de lectură, luarea notiţelor,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Conştientizarea nevoii de formare continuă cu accent pe rolul şi utilizarea instrumentelor TIC pentru managementul dezvoltării personale şi profesionale, prin participarea la rețele media sociale şi profesionale ce susţin dezvoltarea abilităţilor de comunicare în limba engleză.</w:t>
            </w:r>
          </w:p>
        </w:tc>
      </w:tr>
    </w:tbl>
    <w:p w14:paraId="651A363E" w14:textId="77777777" w:rsidR="00A23554" w:rsidRDefault="00A23554" w:rsidP="00A23554">
      <w:pPr>
        <w:suppressAutoHyphens/>
        <w:spacing w:after="0" w:line="240" w:lineRule="auto"/>
        <w:ind w:hanging="426"/>
        <w:rPr>
          <w:rFonts w:ascii="Cambria" w:eastAsia="Times New Roman" w:hAnsi="Cambria" w:cs="Times New Roman"/>
          <w:b/>
          <w:sz w:val="20"/>
          <w:lang w:eastAsia="zh-CN"/>
        </w:rPr>
      </w:pPr>
    </w:p>
    <w:p w14:paraId="3C54D4FA" w14:textId="5B7CFD9C" w:rsidR="00A23554" w:rsidRDefault="00A23554" w:rsidP="00A23554">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Pr>
          <w:rFonts w:ascii="Cambria" w:eastAsia="Times New Roman" w:hAnsi="Cambria" w:cs="Times New Roman"/>
          <w:b/>
          <w:sz w:val="20"/>
          <w:lang w:eastAsia="zh-CN"/>
        </w:rPr>
        <w:t>2.</w:t>
      </w:r>
      <w:r w:rsidRPr="00797C16">
        <w:rPr>
          <w:rFonts w:ascii="Cambria" w:eastAsia="Times New Roman" w:hAnsi="Cambria" w:cs="Times New Roman"/>
          <w:b/>
          <w:sz w:val="20"/>
          <w:lang w:eastAsia="zh-CN"/>
        </w:rPr>
        <w:t xml:space="preserve"> </w:t>
      </w:r>
      <w:r>
        <w:rPr>
          <w:rFonts w:ascii="Cambria" w:eastAsia="Times New Roman" w:hAnsi="Cambria" w:cs="Times New Roman"/>
          <w:b/>
          <w:sz w:val="20"/>
          <w:lang w:eastAsia="zh-CN"/>
        </w:rPr>
        <w:t>Rezultatele învățării</w:t>
      </w:r>
    </w:p>
    <w:tbl>
      <w:tblPr>
        <w:tblStyle w:val="TableGrid"/>
        <w:tblW w:w="10500" w:type="dxa"/>
        <w:tblInd w:w="-455" w:type="dxa"/>
        <w:tblLook w:val="04A0" w:firstRow="1" w:lastRow="0" w:firstColumn="1" w:lastColumn="0" w:noHBand="0" w:noVBand="1"/>
      </w:tblPr>
      <w:tblGrid>
        <w:gridCol w:w="3870"/>
        <w:gridCol w:w="3420"/>
        <w:gridCol w:w="3210"/>
      </w:tblGrid>
      <w:tr w:rsidR="00A23554" w14:paraId="3B7C0E97" w14:textId="77777777" w:rsidTr="006B76DC">
        <w:tc>
          <w:tcPr>
            <w:tcW w:w="3870" w:type="dxa"/>
          </w:tcPr>
          <w:p w14:paraId="1D7B61D9" w14:textId="77777777" w:rsidR="00A23554" w:rsidRDefault="00A23554" w:rsidP="006B76DC">
            <w:pPr>
              <w:suppressAutoHyphens/>
              <w:rPr>
                <w:rFonts w:ascii="Cambria" w:eastAsia="Times New Roman" w:hAnsi="Cambria"/>
                <w:b/>
                <w:lang w:eastAsia="zh-CN"/>
              </w:rPr>
            </w:pPr>
            <w:r w:rsidRPr="0035537A">
              <w:rPr>
                <w:rFonts w:ascii="Cambria" w:eastAsia="Times New Roman" w:hAnsi="Cambria"/>
                <w:b/>
                <w:lang w:eastAsia="zh-CN"/>
              </w:rPr>
              <w:t>Cunoștințe și înțelegere</w:t>
            </w:r>
          </w:p>
        </w:tc>
        <w:tc>
          <w:tcPr>
            <w:tcW w:w="3420" w:type="dxa"/>
          </w:tcPr>
          <w:p w14:paraId="2165924F" w14:textId="77777777" w:rsidR="00A23554" w:rsidRDefault="00A23554" w:rsidP="006B76DC">
            <w:pPr>
              <w:suppressAutoHyphens/>
              <w:rPr>
                <w:rFonts w:ascii="Cambria" w:eastAsia="Times New Roman" w:hAnsi="Cambria"/>
                <w:b/>
                <w:lang w:eastAsia="zh-CN"/>
              </w:rPr>
            </w:pPr>
            <w:r w:rsidRPr="00F30A63">
              <w:rPr>
                <w:rFonts w:ascii="Cambria" w:eastAsia="Times New Roman" w:hAnsi="Cambria"/>
                <w:b/>
                <w:lang w:eastAsia="zh-CN"/>
              </w:rPr>
              <w:t>Abilități academice specific</w:t>
            </w:r>
            <w:r>
              <w:rPr>
                <w:rFonts w:ascii="Cambria" w:eastAsia="Times New Roman" w:hAnsi="Cambria"/>
                <w:b/>
                <w:lang w:eastAsia="zh-CN"/>
              </w:rPr>
              <w:t>e</w:t>
            </w:r>
          </w:p>
        </w:tc>
        <w:tc>
          <w:tcPr>
            <w:tcW w:w="3210" w:type="dxa"/>
          </w:tcPr>
          <w:p w14:paraId="50AA9752" w14:textId="77777777" w:rsidR="00A23554" w:rsidRDefault="00A23554" w:rsidP="006B76DC">
            <w:pPr>
              <w:suppressAutoHyphens/>
              <w:rPr>
                <w:rFonts w:ascii="Cambria" w:eastAsia="Times New Roman" w:hAnsi="Cambria"/>
                <w:b/>
                <w:lang w:eastAsia="zh-CN"/>
              </w:rPr>
            </w:pPr>
            <w:r w:rsidRPr="00F30A63">
              <w:rPr>
                <w:rFonts w:ascii="Cambria" w:eastAsia="Times New Roman" w:hAnsi="Cambria"/>
                <w:b/>
                <w:lang w:eastAsia="zh-CN"/>
              </w:rPr>
              <w:t>Responsabilitate și autonomie</w:t>
            </w:r>
          </w:p>
        </w:tc>
      </w:tr>
      <w:tr w:rsidR="00A23554" w14:paraId="547528CF" w14:textId="77777777" w:rsidTr="006B76DC">
        <w:tc>
          <w:tcPr>
            <w:tcW w:w="3870" w:type="dxa"/>
          </w:tcPr>
          <w:p w14:paraId="21487C9E" w14:textId="77777777" w:rsidR="00A23554" w:rsidRDefault="00A23554" w:rsidP="006B76DC">
            <w:pPr>
              <w:suppressAutoHyphens/>
              <w:rPr>
                <w:rFonts w:ascii="Cambria" w:eastAsia="Times New Roman" w:hAnsi="Cambria"/>
                <w:b/>
                <w:lang w:eastAsia="zh-CN"/>
              </w:rPr>
            </w:pPr>
            <w:r w:rsidRPr="0081471C">
              <w:rPr>
                <w:rFonts w:ascii="Cambria" w:eastAsia="Times New Roman" w:hAnsi="Cambria"/>
                <w:b/>
                <w:lang w:eastAsia="zh-CN"/>
              </w:rPr>
              <w:lastRenderedPageBreak/>
              <w:t xml:space="preserve"> Studentul/absolventul recunoaște, înțelege și stabilește corelația dintre terminologia specifică și/sau limbajul academic în limba maternă și în limba străină studiată.</w:t>
            </w:r>
          </w:p>
        </w:tc>
        <w:tc>
          <w:tcPr>
            <w:tcW w:w="3420" w:type="dxa"/>
          </w:tcPr>
          <w:p w14:paraId="74E170FE" w14:textId="77777777" w:rsidR="00A23554" w:rsidRDefault="00A23554" w:rsidP="006B76DC">
            <w:pPr>
              <w:suppressAutoHyphens/>
              <w:rPr>
                <w:rFonts w:ascii="Cambria" w:eastAsia="Times New Roman" w:hAnsi="Cambria"/>
                <w:b/>
                <w:lang w:eastAsia="zh-CN"/>
              </w:rPr>
            </w:pPr>
            <w:r w:rsidRPr="0035537A">
              <w:rPr>
                <w:rFonts w:ascii="Cambria" w:eastAsia="Times New Roman" w:hAnsi="Cambria"/>
                <w:b/>
                <w:lang w:eastAsia="zh-CN"/>
              </w:rPr>
              <w:t>Studentul/absolventul utilizează terminologia specifică și/sau limbajul academic, în limba străină studiată, pentru a interpreta, explica și transfera conținut specializat scris și/sau oral.</w:t>
            </w:r>
          </w:p>
        </w:tc>
        <w:tc>
          <w:tcPr>
            <w:tcW w:w="3210" w:type="dxa"/>
          </w:tcPr>
          <w:p w14:paraId="07B8B7F0" w14:textId="77777777" w:rsidR="00A23554" w:rsidRDefault="00A23554" w:rsidP="006B76DC">
            <w:pPr>
              <w:suppressAutoHyphens/>
              <w:rPr>
                <w:rFonts w:ascii="Cambria" w:eastAsia="Times New Roman" w:hAnsi="Cambria"/>
                <w:b/>
                <w:lang w:eastAsia="zh-CN"/>
              </w:rPr>
            </w:pPr>
            <w:r w:rsidRPr="0035537A">
              <w:rPr>
                <w:rFonts w:ascii="Cambria" w:eastAsia="Times New Roman" w:hAnsi="Cambria"/>
                <w:b/>
                <w:lang w:eastAsia="zh-CN"/>
              </w:rPr>
              <w:t>Studentul/absolventul este capabil să înțeleagă și să utilizeze elemente discursive neechivoce, în limba străină studiată, în condiții de autonomie ghidată</w:t>
            </w:r>
          </w:p>
        </w:tc>
      </w:tr>
    </w:tbl>
    <w:p w14:paraId="07D0F605" w14:textId="68CD0548" w:rsidR="00C80A1E" w:rsidRPr="00797C16" w:rsidRDefault="00C80A1E"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t>7.1 Obiectivul general al disciplinei</w:t>
            </w:r>
          </w:p>
        </w:tc>
        <w:tc>
          <w:tcPr>
            <w:tcW w:w="7661" w:type="dxa"/>
            <w:vAlign w:val="center"/>
          </w:tcPr>
          <w:p w14:paraId="7F90CB51" w14:textId="60F970AB" w:rsidR="0083358D" w:rsidRPr="004B4ACA" w:rsidRDefault="00A6374B" w:rsidP="00A6374B">
            <w:pPr>
              <w:pStyle w:val="ListParagraph"/>
              <w:spacing w:after="0" w:line="240" w:lineRule="auto"/>
              <w:ind w:left="464"/>
              <w:rPr>
                <w:rFonts w:ascii="Cambria" w:hAnsi="Cambria"/>
                <w:sz w:val="20"/>
                <w:szCs w:val="20"/>
              </w:rPr>
            </w:pPr>
            <w:r w:rsidRPr="0054261C">
              <w:rPr>
                <w:rFonts w:ascii="Times New Roman" w:hAnsi="Times New Roman"/>
                <w:sz w:val="20"/>
                <w:szCs w:val="20"/>
              </w:rPr>
              <w:t xml:space="preserve">Studenţii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şi în viitoarea activitate profesională.</w:t>
            </w:r>
          </w:p>
        </w:tc>
      </w:tr>
      <w:tr w:rsidR="00A6374B" w:rsidRPr="00797C16" w14:paraId="36D1494C" w14:textId="77777777" w:rsidTr="00A6374B">
        <w:trPr>
          <w:cantSplit/>
          <w:trHeight w:val="832"/>
        </w:trPr>
        <w:tc>
          <w:tcPr>
            <w:tcW w:w="2830" w:type="dxa"/>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Cunoaşterea şi înţelegerea aprofundată a contextelor şi rolurilor, precum şi a conceptelor, metodelor şi a discursului/limbajului specific diverselor situaţii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cu accent pe situaţia retorică, formele de comunicare scrisă şi orală, etapele procesului de scriere şi produsele scrisului academic, precum şi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cunoştinţelor aprofundate pentru explicarea şi interpretarea diverselor modalităţi de comunicare scrisă (genuri de texte ştiinţifice) şi orală (comunicări ştiinţifice) şi a convenţiilor ce guvernează redactarea textelor ştiinţifice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şi al comunităţii profesionale extinse (naţionale şi internaţionale).</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învăţate în activităţi de receptare a textului scris şi de producere vizând etapele procesului de scriere, organizarea şi dezvoltarea ideilor, structura textului şi strategiile de comunicare verbală orală şi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ştiinţific.</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comunităţii academice/profesionale pentru evaluarea calităţii produselor comunicării academice scrise şi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5. Elaborarea unor lucrări scrise şi prezentări orale originale care să utilizeze principiile şi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autonomie/independenţă.</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7. Participarea la realizarea de proiecte de lucru în perechi şi în echipă, cu accent pe asumarea de roluri în cadrul echipei de lucru în mediul academic.</w:t>
            </w:r>
          </w:p>
          <w:p w14:paraId="49C8C8EF" w14:textId="03B6F68F" w:rsidR="00A6374B" w:rsidRPr="004B4ACA" w:rsidRDefault="00A6374B" w:rsidP="00A6374B">
            <w:pPr>
              <w:pStyle w:val="ListParagraph"/>
              <w:spacing w:after="0" w:line="240" w:lineRule="auto"/>
              <w:ind w:left="464"/>
              <w:rPr>
                <w:rFonts w:ascii="Cambria" w:hAnsi="Cambria"/>
                <w:sz w:val="20"/>
                <w:szCs w:val="20"/>
              </w:rPr>
            </w:pPr>
            <w:r w:rsidRPr="0054261C">
              <w:rPr>
                <w:rFonts w:ascii="Times New Roman" w:hAnsi="Times New Roman"/>
                <w:sz w:val="20"/>
                <w:szCs w:val="20"/>
              </w:rPr>
              <w:t xml:space="preserve">8. Managementul propriei învăţări, diagnoza nevoilor de formare, monitorizarea şi reflecţia asupra utilizării eficiente a instrumentelor de muncă intelectuală şi a resurselor/tehnicilor/strategiilor de învăţare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vAlign w:val="center"/>
          </w:tcPr>
          <w:p w14:paraId="065C664C" w14:textId="0E46ADAE" w:rsidR="00E30AB8" w:rsidRDefault="00435CA9" w:rsidP="00E30AB8">
            <w:pPr>
              <w:spacing w:after="0" w:line="240" w:lineRule="auto"/>
              <w:rPr>
                <w:rFonts w:ascii="Times New Roman" w:eastAsia="Times New Roman" w:hAnsi="Times New Roman" w:cs="Times New Roman"/>
                <w:sz w:val="20"/>
                <w:szCs w:val="20"/>
                <w:lang w:eastAsia="zh-CN"/>
              </w:rPr>
            </w:pPr>
            <w:r>
              <w:rPr>
                <w:rFonts w:ascii="Cambria" w:hAnsi="Cambria"/>
                <w:sz w:val="20"/>
                <w:szCs w:val="20"/>
                <w:lang w:val="en-US"/>
              </w:rPr>
              <w:t>1</w:t>
            </w:r>
            <w:r w:rsidR="00E30AB8">
              <w:rPr>
                <w:rFonts w:ascii="Cambria" w:hAnsi="Cambria"/>
                <w:sz w:val="20"/>
                <w:szCs w:val="20"/>
                <w:lang w:val="en-US"/>
              </w:rPr>
              <w:t>.</w:t>
            </w:r>
            <w:r w:rsidR="00E30AB8" w:rsidRPr="008A1997">
              <w:rPr>
                <w:rFonts w:ascii="Times New Roman" w:eastAsia="Times New Roman" w:hAnsi="Times New Roman" w:cs="Times New Roman"/>
                <w:sz w:val="20"/>
                <w:szCs w:val="20"/>
                <w:lang w:eastAsia="zh-CN"/>
              </w:rPr>
              <w:t xml:space="preserve"> </w:t>
            </w:r>
            <w:r w:rsidR="00E30AB8">
              <w:rPr>
                <w:rFonts w:ascii="Times New Roman" w:eastAsia="Times New Roman" w:hAnsi="Times New Roman" w:cs="Times New Roman"/>
                <w:sz w:val="20"/>
                <w:szCs w:val="20"/>
                <w:lang w:eastAsia="zh-CN"/>
              </w:rPr>
              <w:t>E-Recruitment (1)</w:t>
            </w:r>
          </w:p>
          <w:p w14:paraId="21CD22EA"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Modern recruitment strategies</w:t>
            </w:r>
          </w:p>
          <w:p w14:paraId="55C1326A"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E-recruitment stages and software</w:t>
            </w:r>
          </w:p>
          <w:p w14:paraId="6C224A07" w14:textId="6FB7EA51" w:rsidR="003F659E" w:rsidRPr="00435CA9" w:rsidRDefault="00E30AB8" w:rsidP="00E30AB8">
            <w:pPr>
              <w:spacing w:after="0" w:line="240" w:lineRule="auto"/>
              <w:rPr>
                <w:rFonts w:ascii="Cambria" w:hAnsi="Cambria"/>
                <w:sz w:val="20"/>
                <w:szCs w:val="20"/>
                <w:lang w:val="en-US"/>
              </w:rPr>
            </w:pPr>
            <w:r>
              <w:rPr>
                <w:rFonts w:ascii="Times New Roman" w:eastAsia="Times New Roman" w:hAnsi="Times New Roman" w:cs="Times New Roman"/>
                <w:sz w:val="20"/>
                <w:szCs w:val="20"/>
                <w:lang w:eastAsia="zh-CN"/>
              </w:rPr>
              <w:t xml:space="preserve">Case study: Sykes e-recruitment process </w:t>
            </w:r>
          </w:p>
        </w:tc>
        <w:tc>
          <w:tcPr>
            <w:tcW w:w="3544" w:type="dxa"/>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vAlign w:val="center"/>
          </w:tcPr>
          <w:p w14:paraId="1C49DDCF" w14:textId="77777777" w:rsidR="00E30AB8" w:rsidRDefault="00E30AB8" w:rsidP="00E30AB8">
            <w:pPr>
              <w:spacing w:after="0" w:line="240" w:lineRule="auto"/>
              <w:rPr>
                <w:rFonts w:ascii="Times New Roman" w:eastAsia="Times New Roman" w:hAnsi="Times New Roman" w:cs="Times New Roman"/>
                <w:sz w:val="20"/>
                <w:szCs w:val="20"/>
                <w:lang w:eastAsia="zh-CN"/>
              </w:rPr>
            </w:pPr>
            <w:r w:rsidRPr="008A1997">
              <w:rPr>
                <w:rFonts w:ascii="Cambria" w:eastAsia="Cambria" w:hAnsi="Cambria" w:cs="Cambria"/>
                <w:sz w:val="20"/>
                <w:szCs w:val="20"/>
              </w:rPr>
              <w:t xml:space="preserve">2. </w:t>
            </w:r>
            <w:r>
              <w:rPr>
                <w:rFonts w:ascii="Times New Roman" w:eastAsia="Times New Roman" w:hAnsi="Times New Roman" w:cs="Times New Roman"/>
                <w:sz w:val="20"/>
                <w:szCs w:val="20"/>
                <w:lang w:eastAsia="zh-CN"/>
              </w:rPr>
              <w:t>E-Recruitment (2)</w:t>
            </w:r>
          </w:p>
          <w:p w14:paraId="58CF1B26"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Different generations and the workplace</w:t>
            </w:r>
          </w:p>
          <w:p w14:paraId="1C516F8D"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Recruiting millennials (features of the generation, preferences for the workplace, career aspirations, skills and preparation)</w:t>
            </w:r>
          </w:p>
          <w:p w14:paraId="05F51FCC" w14:textId="7B313987" w:rsidR="003F659E" w:rsidRPr="00797C16" w:rsidRDefault="00E30AB8" w:rsidP="00E30AB8">
            <w:pPr>
              <w:spacing w:after="0" w:line="240" w:lineRule="auto"/>
              <w:rPr>
                <w:rFonts w:ascii="Cambria" w:hAnsi="Cambria"/>
                <w:sz w:val="20"/>
                <w:szCs w:val="20"/>
              </w:rPr>
            </w:pPr>
            <w:r>
              <w:rPr>
                <w:rFonts w:ascii="Times New Roman" w:eastAsia="Times New Roman" w:hAnsi="Times New Roman" w:cs="Times New Roman"/>
                <w:sz w:val="20"/>
                <w:szCs w:val="20"/>
                <w:lang w:eastAsia="zh-CN"/>
              </w:rPr>
              <w:t>Recruiting Gen-Z (features of the generation, preferences for the workplace, career aspirations, skills and preparation)</w:t>
            </w:r>
          </w:p>
        </w:tc>
        <w:tc>
          <w:tcPr>
            <w:tcW w:w="3544" w:type="dxa"/>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vAlign w:val="center"/>
          </w:tcPr>
          <w:p w14:paraId="01246858" w14:textId="5FCEAB3B" w:rsidR="00E30AB8" w:rsidRDefault="00435CA9" w:rsidP="00E30AB8">
            <w:pPr>
              <w:spacing w:after="0" w:line="240" w:lineRule="auto"/>
              <w:rPr>
                <w:rFonts w:ascii="Cambria" w:eastAsia="Cambria" w:hAnsi="Cambria" w:cs="Cambria"/>
                <w:sz w:val="20"/>
                <w:szCs w:val="20"/>
              </w:rPr>
            </w:pPr>
            <w:r>
              <w:rPr>
                <w:rFonts w:ascii="Cambria" w:hAnsi="Cambria"/>
                <w:sz w:val="20"/>
                <w:szCs w:val="20"/>
              </w:rPr>
              <w:t>3.</w:t>
            </w:r>
            <w:r w:rsidR="00E30AB8" w:rsidRPr="008A1997">
              <w:rPr>
                <w:rFonts w:ascii="Cambria" w:eastAsia="Cambria" w:hAnsi="Cambria" w:cs="Cambria"/>
                <w:sz w:val="20"/>
                <w:szCs w:val="20"/>
              </w:rPr>
              <w:t xml:space="preserve"> </w:t>
            </w:r>
            <w:r w:rsidR="00E30AB8">
              <w:rPr>
                <w:rFonts w:ascii="Cambria" w:eastAsia="Cambria" w:hAnsi="Cambria" w:cs="Cambria"/>
                <w:sz w:val="20"/>
                <w:szCs w:val="20"/>
              </w:rPr>
              <w:t>Training (1)</w:t>
            </w:r>
          </w:p>
          <w:p w14:paraId="6CC3B75B"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The importance of training your staff</w:t>
            </w:r>
          </w:p>
          <w:p w14:paraId="2B5E1187"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Evaluating training programs</w:t>
            </w:r>
          </w:p>
          <w:p w14:paraId="52D3239C"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Reading: Return on investment: More an art than a science</w:t>
            </w:r>
          </w:p>
          <w:p w14:paraId="206119C7" w14:textId="090A0106" w:rsidR="003F659E" w:rsidRPr="00797C16" w:rsidRDefault="00E30AB8" w:rsidP="00E30AB8">
            <w:pPr>
              <w:spacing w:after="0" w:line="240" w:lineRule="auto"/>
              <w:rPr>
                <w:rFonts w:ascii="Cambria" w:hAnsi="Cambria"/>
                <w:sz w:val="20"/>
                <w:szCs w:val="20"/>
              </w:rPr>
            </w:pPr>
            <w:r>
              <w:rPr>
                <w:rFonts w:ascii="Cambria" w:eastAsia="Cambria" w:hAnsi="Cambria" w:cs="Cambria"/>
                <w:sz w:val="20"/>
                <w:szCs w:val="20"/>
              </w:rPr>
              <w:t xml:space="preserve">Writing: </w:t>
            </w:r>
            <w:r w:rsidRPr="00AE6F98">
              <w:rPr>
                <w:rFonts w:ascii="Cambria" w:eastAsia="Cambria" w:hAnsi="Cambria" w:cs="Cambria"/>
                <w:sz w:val="20"/>
                <w:szCs w:val="20"/>
              </w:rPr>
              <w:t>Argumentative Essay – Argue why training staff is important both for the employees and for the organization as a whole.</w:t>
            </w:r>
            <w:r w:rsidR="00A86EF2">
              <w:rPr>
                <w:rFonts w:ascii="Cambria" w:eastAsia="Cambria" w:hAnsi="Cambria" w:cs="Cambria"/>
                <w:sz w:val="20"/>
                <w:szCs w:val="20"/>
              </w:rPr>
              <w:t>Advertising</w:t>
            </w:r>
            <w:r w:rsidR="00A86EF2" w:rsidRPr="00797C16">
              <w:rPr>
                <w:rFonts w:ascii="Cambria" w:hAnsi="Cambria"/>
                <w:sz w:val="20"/>
                <w:szCs w:val="20"/>
              </w:rPr>
              <w:t xml:space="preserve"> </w:t>
            </w:r>
          </w:p>
        </w:tc>
        <w:tc>
          <w:tcPr>
            <w:tcW w:w="3544" w:type="dxa"/>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vAlign w:val="center"/>
          </w:tcPr>
          <w:p w14:paraId="36BBBD67"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4. </w:t>
            </w:r>
            <w:r>
              <w:rPr>
                <w:rFonts w:ascii="Cambria" w:eastAsia="Cambria" w:hAnsi="Cambria" w:cs="Cambria"/>
                <w:sz w:val="20"/>
                <w:szCs w:val="20"/>
              </w:rPr>
              <w:t>Training (2)</w:t>
            </w:r>
          </w:p>
          <w:p w14:paraId="5B5DF507" w14:textId="77777777" w:rsidR="00E30AB8" w:rsidRPr="00AE6F98" w:rsidRDefault="00E30AB8" w:rsidP="00E30AB8">
            <w:pPr>
              <w:spacing w:after="0" w:line="240" w:lineRule="auto"/>
              <w:rPr>
                <w:rFonts w:ascii="Cambria" w:eastAsia="Cambria" w:hAnsi="Cambria" w:cs="Cambria"/>
                <w:sz w:val="20"/>
                <w:szCs w:val="20"/>
              </w:rPr>
            </w:pPr>
            <w:r w:rsidRPr="00AE6F98">
              <w:rPr>
                <w:rFonts w:ascii="Cambria" w:eastAsia="Cambria" w:hAnsi="Cambria" w:cs="Cambria"/>
                <w:sz w:val="20"/>
                <w:szCs w:val="20"/>
              </w:rPr>
              <w:t>Executive education</w:t>
            </w:r>
          </w:p>
          <w:p w14:paraId="3E8DFADD" w14:textId="77777777" w:rsidR="00E30AB8" w:rsidRPr="00AE6F98" w:rsidRDefault="00E30AB8" w:rsidP="00E30AB8">
            <w:pPr>
              <w:spacing w:after="0" w:line="240" w:lineRule="auto"/>
              <w:rPr>
                <w:rFonts w:ascii="Cambria" w:eastAsia="Cambria" w:hAnsi="Cambria" w:cs="Cambria"/>
                <w:sz w:val="20"/>
                <w:szCs w:val="20"/>
              </w:rPr>
            </w:pPr>
            <w:r w:rsidRPr="00AE6F98">
              <w:rPr>
                <w:rFonts w:ascii="Cambria" w:eastAsia="Cambria" w:hAnsi="Cambria" w:cs="Cambria"/>
                <w:sz w:val="20"/>
                <w:szCs w:val="20"/>
              </w:rPr>
              <w:t>R</w:t>
            </w:r>
            <w:r>
              <w:rPr>
                <w:rFonts w:ascii="Cambria" w:eastAsia="Cambria" w:hAnsi="Cambria" w:cs="Cambria"/>
                <w:sz w:val="20"/>
                <w:szCs w:val="20"/>
              </w:rPr>
              <w:t>eading</w:t>
            </w:r>
            <w:r w:rsidRPr="00AE6F98">
              <w:rPr>
                <w:rFonts w:ascii="Cambria" w:eastAsia="Cambria" w:hAnsi="Cambria" w:cs="Cambria"/>
                <w:sz w:val="20"/>
                <w:szCs w:val="20"/>
              </w:rPr>
              <w:t>: Training programs – Tailored programs build leadership skills</w:t>
            </w:r>
          </w:p>
          <w:p w14:paraId="49417A7B" w14:textId="67DDCAA6" w:rsidR="003F659E" w:rsidRPr="00797C16" w:rsidRDefault="00E30AB8" w:rsidP="00E30AB8">
            <w:pPr>
              <w:spacing w:after="0" w:line="240" w:lineRule="auto"/>
              <w:rPr>
                <w:rFonts w:ascii="Cambria" w:hAnsi="Cambria"/>
                <w:sz w:val="20"/>
                <w:szCs w:val="20"/>
              </w:rPr>
            </w:pPr>
            <w:r w:rsidRPr="00AE6F98">
              <w:rPr>
                <w:rFonts w:ascii="Cambria" w:eastAsia="Cambria" w:hAnsi="Cambria" w:cs="Cambria"/>
                <w:sz w:val="20"/>
                <w:szCs w:val="20"/>
              </w:rPr>
              <w:t>Apprenticeships/Internships: - relevance, usefulness</w:t>
            </w:r>
          </w:p>
        </w:tc>
        <w:tc>
          <w:tcPr>
            <w:tcW w:w="3544" w:type="dxa"/>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vAlign w:val="center"/>
          </w:tcPr>
          <w:p w14:paraId="7722C63C" w14:textId="77777777" w:rsidR="00E30AB8" w:rsidRPr="008A1997"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5. </w:t>
            </w:r>
            <w:r>
              <w:rPr>
                <w:rFonts w:ascii="Cambria" w:eastAsia="Cambria" w:hAnsi="Cambria" w:cs="Cambria"/>
                <w:sz w:val="20"/>
                <w:szCs w:val="20"/>
              </w:rPr>
              <w:t>Diversity (1)</w:t>
            </w:r>
          </w:p>
          <w:p w14:paraId="0C1BDFDD" w14:textId="77777777" w:rsidR="00E30AB8" w:rsidRPr="0026281D" w:rsidRDefault="00E30AB8" w:rsidP="00E30AB8">
            <w:pPr>
              <w:spacing w:after="0" w:line="240" w:lineRule="auto"/>
              <w:rPr>
                <w:rFonts w:ascii="Cambria" w:eastAsia="Cambria" w:hAnsi="Cambria" w:cs="Cambria"/>
                <w:sz w:val="20"/>
                <w:szCs w:val="20"/>
              </w:rPr>
            </w:pPr>
            <w:r w:rsidRPr="0026281D">
              <w:rPr>
                <w:rFonts w:ascii="Cambria" w:eastAsia="Cambria" w:hAnsi="Cambria" w:cs="Cambria"/>
                <w:sz w:val="20"/>
                <w:szCs w:val="20"/>
              </w:rPr>
              <w:t>Encouraging diversity at the workplace</w:t>
            </w:r>
          </w:p>
          <w:p w14:paraId="2467E2B3" w14:textId="77777777" w:rsidR="00E30AB8" w:rsidRPr="0026281D" w:rsidRDefault="00E30AB8" w:rsidP="00E30AB8">
            <w:pPr>
              <w:spacing w:after="0" w:line="240" w:lineRule="auto"/>
              <w:rPr>
                <w:rFonts w:ascii="Cambria" w:eastAsia="Cambria" w:hAnsi="Cambria" w:cs="Cambria"/>
                <w:sz w:val="20"/>
                <w:szCs w:val="20"/>
              </w:rPr>
            </w:pPr>
            <w:r w:rsidRPr="0026281D">
              <w:rPr>
                <w:rFonts w:ascii="Cambria" w:eastAsia="Cambria" w:hAnsi="Cambria" w:cs="Cambria"/>
                <w:sz w:val="20"/>
                <w:szCs w:val="20"/>
              </w:rPr>
              <w:t>READING: The United Colors of Canada</w:t>
            </w:r>
          </w:p>
          <w:p w14:paraId="23D68523" w14:textId="4070B675" w:rsidR="00A6374B" w:rsidRPr="00A86EF2" w:rsidRDefault="00E30AB8" w:rsidP="00E30AB8">
            <w:pPr>
              <w:spacing w:after="0" w:line="240" w:lineRule="auto"/>
              <w:rPr>
                <w:rFonts w:ascii="Cambria" w:eastAsia="Cambria" w:hAnsi="Cambria" w:cs="Cambria"/>
                <w:kern w:val="0"/>
                <w:sz w:val="20"/>
                <w:szCs w:val="20"/>
                <w:lang w:val="es-MX"/>
                <w14:ligatures w14:val="none"/>
              </w:rPr>
            </w:pPr>
            <w:r w:rsidRPr="0026281D">
              <w:rPr>
                <w:rFonts w:ascii="Cambria" w:eastAsia="Cambria" w:hAnsi="Cambria" w:cs="Cambria"/>
                <w:sz w:val="20"/>
                <w:szCs w:val="20"/>
              </w:rPr>
              <w:t>Specific vocabulary acquisition</w:t>
            </w:r>
          </w:p>
        </w:tc>
        <w:tc>
          <w:tcPr>
            <w:tcW w:w="3544" w:type="dxa"/>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vAlign w:val="center"/>
          </w:tcPr>
          <w:p w14:paraId="7731AB0A"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6. </w:t>
            </w:r>
            <w:r>
              <w:rPr>
                <w:rFonts w:ascii="Cambria" w:eastAsia="Cambria" w:hAnsi="Cambria" w:cs="Cambria"/>
                <w:sz w:val="20"/>
                <w:szCs w:val="20"/>
              </w:rPr>
              <w:t>Diversity (2)</w:t>
            </w:r>
          </w:p>
          <w:p w14:paraId="477B9AB7"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Gender equality</w:t>
            </w:r>
          </w:p>
          <w:p w14:paraId="6BEB308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Hiring locally or abroad</w:t>
            </w:r>
          </w:p>
          <w:p w14:paraId="38B180E9" w14:textId="77777777" w:rsidR="00E30AB8" w:rsidRPr="00DC4516"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 xml:space="preserve">Reading: </w:t>
            </w:r>
            <w:r w:rsidRPr="00DC4516">
              <w:rPr>
                <w:rFonts w:ascii="Cambria" w:eastAsia="Cambria" w:hAnsi="Cambria" w:cs="Cambria"/>
                <w:sz w:val="20"/>
                <w:szCs w:val="20"/>
              </w:rPr>
              <w:t>Vietnamese see silver lining in skills battle</w:t>
            </w:r>
          </w:p>
          <w:p w14:paraId="0CAB4AC8"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Specific vocabulary acquisition</w:t>
            </w:r>
          </w:p>
          <w:p w14:paraId="6D7B9D0C" w14:textId="77777777" w:rsidR="00E30AB8" w:rsidRPr="002A7A5C"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Case Study</w:t>
            </w:r>
            <w:r w:rsidRPr="00DC4516">
              <w:rPr>
                <w:rFonts w:ascii="Cambria" w:eastAsia="Cambria" w:hAnsi="Cambria" w:cs="Cambria"/>
                <w:sz w:val="20"/>
                <w:szCs w:val="20"/>
              </w:rPr>
              <w:t xml:space="preserve">: </w:t>
            </w:r>
            <w:r>
              <w:rPr>
                <w:rFonts w:ascii="Cambria" w:eastAsia="Cambria" w:hAnsi="Cambria" w:cs="Cambria"/>
                <w:sz w:val="20"/>
                <w:szCs w:val="20"/>
              </w:rPr>
              <w:t>Diversity and Inclusion policies</w:t>
            </w:r>
          </w:p>
          <w:p w14:paraId="5E9DE857" w14:textId="1D62ED2D" w:rsidR="00A6374B" w:rsidRPr="00797C16" w:rsidRDefault="00A6374B" w:rsidP="00A86EF2">
            <w:pPr>
              <w:spacing w:after="0" w:line="240" w:lineRule="auto"/>
              <w:rPr>
                <w:rFonts w:ascii="Cambria" w:hAnsi="Cambria"/>
                <w:sz w:val="20"/>
                <w:szCs w:val="20"/>
              </w:rPr>
            </w:pPr>
          </w:p>
        </w:tc>
        <w:tc>
          <w:tcPr>
            <w:tcW w:w="3544" w:type="dxa"/>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vAlign w:val="center"/>
          </w:tcPr>
          <w:p w14:paraId="67EE5E9E"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7</w:t>
            </w:r>
            <w:r w:rsidRPr="008A1997">
              <w:rPr>
                <w:rFonts w:ascii="Cambria" w:eastAsia="Cambria" w:hAnsi="Cambria" w:cs="Cambria"/>
                <w:sz w:val="20"/>
                <w:szCs w:val="20"/>
              </w:rPr>
              <w:t xml:space="preserve">. </w:t>
            </w:r>
            <w:r>
              <w:rPr>
                <w:rFonts w:ascii="Cambria" w:eastAsia="Cambria" w:hAnsi="Cambria" w:cs="Cambria"/>
                <w:sz w:val="20"/>
                <w:szCs w:val="20"/>
              </w:rPr>
              <w:t>HR Strategy (1)</w:t>
            </w:r>
          </w:p>
          <w:p w14:paraId="3EB0B93A"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What is HR strategy? Why is it important?</w:t>
            </w:r>
          </w:p>
          <w:p w14:paraId="1CBEBA24" w14:textId="77777777" w:rsidR="00E30AB8" w:rsidRPr="00DC4516"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Reading</w:t>
            </w:r>
            <w:r w:rsidRPr="00DC4516">
              <w:rPr>
                <w:rFonts w:ascii="Cambria" w:eastAsia="Cambria" w:hAnsi="Cambria" w:cs="Cambria"/>
                <w:sz w:val="20"/>
                <w:szCs w:val="20"/>
              </w:rPr>
              <w:t>: Building a strong HR brand</w:t>
            </w:r>
          </w:p>
          <w:p w14:paraId="5BF7C94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E-firing</w:t>
            </w:r>
          </w:p>
          <w:p w14:paraId="6F33F96A" w14:textId="4BF1663C" w:rsidR="00A6374B" w:rsidRPr="00797C16" w:rsidRDefault="00E30AB8" w:rsidP="00E30AB8">
            <w:pPr>
              <w:spacing w:after="0" w:line="240" w:lineRule="auto"/>
              <w:rPr>
                <w:rFonts w:ascii="Cambria" w:hAnsi="Cambria"/>
                <w:sz w:val="20"/>
                <w:szCs w:val="20"/>
              </w:rPr>
            </w:pPr>
            <w:r w:rsidRPr="00DC4516">
              <w:rPr>
                <w:rFonts w:ascii="Cambria" w:eastAsia="Cambria" w:hAnsi="Cambria" w:cs="Cambria"/>
                <w:sz w:val="20"/>
                <w:szCs w:val="20"/>
              </w:rPr>
              <w:t>WRITING: Descriptive essay.</w:t>
            </w:r>
          </w:p>
        </w:tc>
        <w:tc>
          <w:tcPr>
            <w:tcW w:w="3544" w:type="dxa"/>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33D2D312" w14:textId="77777777" w:rsidR="00A6374B" w:rsidRPr="00797C16" w:rsidRDefault="00A6374B" w:rsidP="00373CCF">
            <w:pPr>
              <w:spacing w:after="0" w:line="240" w:lineRule="auto"/>
              <w:rPr>
                <w:rFonts w:ascii="Cambria" w:hAnsi="Cambria"/>
                <w:sz w:val="20"/>
                <w:szCs w:val="20"/>
              </w:rPr>
            </w:pPr>
          </w:p>
        </w:tc>
      </w:tr>
      <w:tr w:rsidR="00A6374B" w:rsidRPr="00797C16" w14:paraId="37FD87DE" w14:textId="77777777" w:rsidTr="00062FEA">
        <w:trPr>
          <w:trHeight w:val="284"/>
        </w:trPr>
        <w:tc>
          <w:tcPr>
            <w:tcW w:w="3970" w:type="dxa"/>
            <w:vAlign w:val="center"/>
          </w:tcPr>
          <w:p w14:paraId="57372742"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8. </w:t>
            </w:r>
            <w:r>
              <w:rPr>
                <w:rFonts w:ascii="Cambria" w:eastAsia="Cambria" w:hAnsi="Cambria" w:cs="Cambria"/>
                <w:sz w:val="20"/>
                <w:szCs w:val="20"/>
              </w:rPr>
              <w:t>HR Strategy (2)</w:t>
            </w:r>
          </w:p>
          <w:p w14:paraId="79E9F267" w14:textId="77777777" w:rsidR="00E30AB8"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Linking business and HR strategies</w:t>
            </w:r>
          </w:p>
          <w:p w14:paraId="1F055B0C"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 xml:space="preserve">Strategic approaches to HR </w:t>
            </w:r>
          </w:p>
          <w:p w14:paraId="2B829821"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R</w:t>
            </w:r>
            <w:r>
              <w:rPr>
                <w:rFonts w:ascii="Cambria" w:eastAsia="Cambria" w:hAnsi="Cambria" w:cs="Cambria"/>
                <w:sz w:val="20"/>
                <w:szCs w:val="20"/>
              </w:rPr>
              <w:t>eading</w:t>
            </w:r>
            <w:r w:rsidRPr="00DC4516">
              <w:rPr>
                <w:rFonts w:ascii="Cambria" w:eastAsia="Cambria" w:hAnsi="Cambria" w:cs="Cambria"/>
                <w:sz w:val="20"/>
                <w:szCs w:val="20"/>
              </w:rPr>
              <w:t xml:space="preserve">: </w:t>
            </w:r>
            <w:r w:rsidRPr="00DC4516">
              <w:rPr>
                <w:rFonts w:ascii="Cambria" w:eastAsia="Cambria" w:hAnsi="Cambria" w:cs="Cambria"/>
                <w:i/>
                <w:iCs/>
                <w:sz w:val="20"/>
                <w:szCs w:val="20"/>
              </w:rPr>
              <w:t xml:space="preserve">A summary of strategic approaches to HR </w:t>
            </w:r>
          </w:p>
          <w:p w14:paraId="59393EC0" w14:textId="276718BC" w:rsidR="00A6374B" w:rsidRPr="00E30AB8" w:rsidRDefault="00E30AB8" w:rsidP="00A86EF2">
            <w:pPr>
              <w:spacing w:after="0" w:line="240" w:lineRule="auto"/>
              <w:rPr>
                <w:rFonts w:ascii="Cambria" w:eastAsia="Cambria" w:hAnsi="Cambria" w:cs="Cambria"/>
                <w:sz w:val="20"/>
                <w:szCs w:val="20"/>
              </w:rPr>
            </w:pPr>
            <w:r w:rsidRPr="00DC4516">
              <w:rPr>
                <w:rFonts w:ascii="Cambria" w:eastAsia="Cambria" w:hAnsi="Cambria" w:cs="Cambria"/>
                <w:sz w:val="20"/>
                <w:szCs w:val="20"/>
              </w:rPr>
              <w:t>W</w:t>
            </w:r>
            <w:r>
              <w:rPr>
                <w:rFonts w:ascii="Cambria" w:eastAsia="Cambria" w:hAnsi="Cambria" w:cs="Cambria"/>
                <w:sz w:val="20"/>
                <w:szCs w:val="20"/>
              </w:rPr>
              <w:t>riting</w:t>
            </w:r>
            <w:r w:rsidRPr="00DC4516">
              <w:rPr>
                <w:rFonts w:ascii="Cambria" w:eastAsia="Cambria" w:hAnsi="Cambria" w:cs="Cambria"/>
                <w:sz w:val="20"/>
                <w:szCs w:val="20"/>
              </w:rPr>
              <w:t xml:space="preserve">: Writing HR strategy documents </w:t>
            </w:r>
          </w:p>
        </w:tc>
        <w:tc>
          <w:tcPr>
            <w:tcW w:w="3544" w:type="dxa"/>
            <w:vAlign w:val="center"/>
          </w:tcPr>
          <w:p w14:paraId="414AE02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3D065BD3" w14:textId="77777777" w:rsidR="00A6374B" w:rsidRPr="00797C16" w:rsidRDefault="00A6374B" w:rsidP="00373CCF">
            <w:pPr>
              <w:spacing w:after="0" w:line="240" w:lineRule="auto"/>
              <w:rPr>
                <w:rFonts w:ascii="Cambria" w:hAnsi="Cambria"/>
                <w:sz w:val="20"/>
                <w:szCs w:val="20"/>
              </w:rPr>
            </w:pPr>
          </w:p>
        </w:tc>
      </w:tr>
      <w:tr w:rsidR="00A6374B" w:rsidRPr="00797C16" w14:paraId="12DD6D3B" w14:textId="77777777" w:rsidTr="00062FEA">
        <w:trPr>
          <w:trHeight w:val="284"/>
        </w:trPr>
        <w:tc>
          <w:tcPr>
            <w:tcW w:w="3970" w:type="dxa"/>
            <w:vAlign w:val="center"/>
          </w:tcPr>
          <w:p w14:paraId="7A7EDAF8"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9</w:t>
            </w:r>
            <w:r w:rsidRPr="008A1997">
              <w:rPr>
                <w:rFonts w:ascii="Cambria" w:eastAsia="Cambria" w:hAnsi="Cambria" w:cs="Cambria"/>
                <w:sz w:val="20"/>
                <w:szCs w:val="20"/>
              </w:rPr>
              <w:t xml:space="preserve">. </w:t>
            </w:r>
            <w:r>
              <w:rPr>
                <w:rFonts w:ascii="Cambria" w:eastAsia="Cambria" w:hAnsi="Cambria" w:cs="Cambria"/>
                <w:sz w:val="20"/>
                <w:szCs w:val="20"/>
              </w:rPr>
              <w:t>Other HR Documents</w:t>
            </w:r>
          </w:p>
          <w:p w14:paraId="6FA34750"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Letter of appointment</w:t>
            </w:r>
          </w:p>
          <w:p w14:paraId="65F3C591"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lastRenderedPageBreak/>
              <w:t>Staff Satisfaction Survey</w:t>
            </w:r>
          </w:p>
          <w:p w14:paraId="77B7D368" w14:textId="5329FD50" w:rsidR="00A6374B" w:rsidRPr="00E30AB8" w:rsidRDefault="00E30AB8" w:rsidP="00A86EF2">
            <w:pPr>
              <w:spacing w:after="0" w:line="240" w:lineRule="auto"/>
              <w:rPr>
                <w:rFonts w:ascii="Cambria" w:eastAsia="Cambria" w:hAnsi="Cambria" w:cs="Cambria"/>
                <w:sz w:val="20"/>
                <w:szCs w:val="20"/>
              </w:rPr>
            </w:pPr>
            <w:r w:rsidRPr="00DC4516">
              <w:rPr>
                <w:rFonts w:ascii="Cambria" w:eastAsia="Cambria" w:hAnsi="Cambria" w:cs="Cambria"/>
                <w:sz w:val="20"/>
                <w:szCs w:val="20"/>
              </w:rPr>
              <w:t>Strategy documents and reports</w:t>
            </w:r>
          </w:p>
        </w:tc>
        <w:tc>
          <w:tcPr>
            <w:tcW w:w="3544" w:type="dxa"/>
            <w:vAlign w:val="center"/>
          </w:tcPr>
          <w:p w14:paraId="6B1E981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FBD184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lucru în perechi/grup</w:t>
            </w:r>
          </w:p>
          <w:p w14:paraId="6B777F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5896465" w14:textId="77777777" w:rsidR="00A6374B" w:rsidRPr="00797C16" w:rsidRDefault="00A6374B" w:rsidP="00373CCF">
            <w:pPr>
              <w:spacing w:after="0" w:line="240" w:lineRule="auto"/>
              <w:rPr>
                <w:rFonts w:ascii="Cambria" w:hAnsi="Cambria"/>
                <w:sz w:val="20"/>
                <w:szCs w:val="20"/>
              </w:rPr>
            </w:pPr>
          </w:p>
        </w:tc>
      </w:tr>
      <w:tr w:rsidR="00A6374B" w:rsidRPr="00797C16" w14:paraId="0A65761D" w14:textId="77777777" w:rsidTr="00062FEA">
        <w:trPr>
          <w:trHeight w:val="284"/>
        </w:trPr>
        <w:tc>
          <w:tcPr>
            <w:tcW w:w="3970" w:type="dxa"/>
            <w:vAlign w:val="center"/>
          </w:tcPr>
          <w:p w14:paraId="402682D4"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1</w:t>
            </w:r>
            <w:r>
              <w:rPr>
                <w:rFonts w:ascii="Cambria" w:eastAsia="Cambria" w:hAnsi="Cambria" w:cs="Cambria"/>
                <w:sz w:val="20"/>
                <w:szCs w:val="20"/>
              </w:rPr>
              <w:t>0</w:t>
            </w:r>
            <w:r w:rsidRPr="008A1997">
              <w:rPr>
                <w:rFonts w:ascii="Cambria" w:eastAsia="Cambria" w:hAnsi="Cambria" w:cs="Cambria"/>
                <w:sz w:val="20"/>
                <w:szCs w:val="20"/>
              </w:rPr>
              <w:t xml:space="preserve">. </w:t>
            </w:r>
            <w:r>
              <w:rPr>
                <w:rFonts w:ascii="Cambria" w:eastAsia="Cambria" w:hAnsi="Cambria" w:cs="Cambria"/>
                <w:sz w:val="20"/>
                <w:szCs w:val="20"/>
              </w:rPr>
              <w:t xml:space="preserve">Discipline and Grievance </w:t>
            </w:r>
          </w:p>
          <w:p w14:paraId="2075D855"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Investigating complaints</w:t>
            </w:r>
          </w:p>
          <w:p w14:paraId="63F8FC22"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Dealing with a grievance</w:t>
            </w:r>
          </w:p>
          <w:p w14:paraId="61ED9A9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Specific vocabulary acquisition: how to deal with grievances and respond professionally</w:t>
            </w:r>
          </w:p>
          <w:p w14:paraId="120BFC0F" w14:textId="73505E75" w:rsidR="00A6374B" w:rsidRPr="00797C16" w:rsidRDefault="00E30AB8" w:rsidP="00E30AB8">
            <w:pPr>
              <w:spacing w:after="0" w:line="240" w:lineRule="auto"/>
              <w:rPr>
                <w:rFonts w:ascii="Cambria" w:hAnsi="Cambria"/>
                <w:sz w:val="20"/>
                <w:szCs w:val="20"/>
              </w:rPr>
            </w:pPr>
            <w:r w:rsidRPr="00DC4516">
              <w:rPr>
                <w:rFonts w:ascii="Cambria" w:eastAsia="Cambria" w:hAnsi="Cambria" w:cs="Cambria"/>
                <w:sz w:val="20"/>
                <w:szCs w:val="20"/>
              </w:rPr>
              <w:t>Responding to a grievance in writing</w:t>
            </w:r>
          </w:p>
        </w:tc>
        <w:tc>
          <w:tcPr>
            <w:tcW w:w="3544" w:type="dxa"/>
            <w:vAlign w:val="center"/>
          </w:tcPr>
          <w:p w14:paraId="45016CB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62B362B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A04D7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2F91E0AF" w14:textId="77777777" w:rsidR="00A6374B" w:rsidRPr="00797C16" w:rsidRDefault="00A6374B" w:rsidP="00373CCF">
            <w:pPr>
              <w:spacing w:after="0" w:line="240" w:lineRule="auto"/>
              <w:rPr>
                <w:rFonts w:ascii="Cambria" w:hAnsi="Cambria"/>
                <w:sz w:val="20"/>
                <w:szCs w:val="20"/>
              </w:rPr>
            </w:pPr>
          </w:p>
        </w:tc>
      </w:tr>
      <w:tr w:rsidR="00A6374B" w:rsidRPr="00797C16" w14:paraId="46B863A6" w14:textId="77777777" w:rsidTr="00062FEA">
        <w:trPr>
          <w:trHeight w:val="284"/>
        </w:trPr>
        <w:tc>
          <w:tcPr>
            <w:tcW w:w="3970" w:type="dxa"/>
            <w:vAlign w:val="center"/>
          </w:tcPr>
          <w:p w14:paraId="6EFEC192" w14:textId="58E96421" w:rsidR="00E30AB8" w:rsidRDefault="00A86EF2" w:rsidP="00E30AB8">
            <w:pPr>
              <w:spacing w:after="0"/>
              <w:contextualSpacing/>
              <w:rPr>
                <w:rFonts w:ascii="Times New Roman" w:eastAsia="Times New Roman" w:hAnsi="Times New Roman" w:cs="Times New Roman"/>
                <w:bCs/>
                <w:color w:val="000000"/>
                <w:sz w:val="20"/>
                <w:szCs w:val="22"/>
                <w:lang w:eastAsia="zh-CN"/>
              </w:rPr>
            </w:pPr>
            <w:r w:rsidRPr="008A1997">
              <w:rPr>
                <w:rFonts w:ascii="Cambria" w:eastAsia="Cambria" w:hAnsi="Cambria" w:cs="Cambria"/>
                <w:sz w:val="20"/>
                <w:szCs w:val="20"/>
              </w:rPr>
              <w:t xml:space="preserve">11. </w:t>
            </w:r>
            <w:r w:rsidR="00E30AB8">
              <w:rPr>
                <w:rFonts w:ascii="Times New Roman" w:eastAsia="Times New Roman" w:hAnsi="Times New Roman" w:cs="Times New Roman"/>
                <w:bCs/>
                <w:color w:val="000000"/>
                <w:sz w:val="20"/>
                <w:szCs w:val="22"/>
                <w:lang w:eastAsia="zh-CN"/>
              </w:rPr>
              <w:t>Exit interviews (1)</w:t>
            </w:r>
          </w:p>
          <w:p w14:paraId="3E54F4F3"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The importance of exit interviews</w:t>
            </w:r>
          </w:p>
          <w:p w14:paraId="5C45F24E"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Exit interview questions</w:t>
            </w:r>
          </w:p>
          <w:p w14:paraId="026D86FC"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Interpreting exit interview data</w:t>
            </w:r>
          </w:p>
          <w:p w14:paraId="6F785764" w14:textId="3EE0338F" w:rsidR="00A6374B" w:rsidRPr="00797C16" w:rsidRDefault="00E30AB8" w:rsidP="00E30AB8">
            <w:pPr>
              <w:spacing w:after="0" w:line="240" w:lineRule="auto"/>
              <w:rPr>
                <w:rFonts w:ascii="Cambria" w:hAnsi="Cambria"/>
                <w:sz w:val="20"/>
                <w:szCs w:val="20"/>
              </w:rPr>
            </w:pPr>
            <w:r>
              <w:rPr>
                <w:rFonts w:ascii="Times New Roman" w:eastAsia="Times New Roman" w:hAnsi="Times New Roman" w:cs="Times New Roman"/>
                <w:bCs/>
                <w:color w:val="000000"/>
                <w:sz w:val="20"/>
                <w:szCs w:val="22"/>
                <w:lang w:eastAsia="zh-CN"/>
              </w:rPr>
              <w:t>Writing: Creating an exit interview</w:t>
            </w:r>
          </w:p>
        </w:tc>
        <w:tc>
          <w:tcPr>
            <w:tcW w:w="3544" w:type="dxa"/>
            <w:vAlign w:val="center"/>
          </w:tcPr>
          <w:p w14:paraId="6AD73D4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A02F8C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DCAC36F" w14:textId="77777777" w:rsidR="00A6374B" w:rsidRPr="00797C16" w:rsidRDefault="00A6374B" w:rsidP="00373CCF">
            <w:pPr>
              <w:spacing w:after="0" w:line="240" w:lineRule="auto"/>
              <w:rPr>
                <w:rFonts w:ascii="Cambria" w:hAnsi="Cambria"/>
                <w:sz w:val="20"/>
                <w:szCs w:val="20"/>
              </w:rPr>
            </w:pPr>
          </w:p>
        </w:tc>
      </w:tr>
      <w:tr w:rsidR="00A6374B" w:rsidRPr="00797C16" w14:paraId="593190EF" w14:textId="77777777" w:rsidTr="00062FEA">
        <w:trPr>
          <w:trHeight w:val="284"/>
        </w:trPr>
        <w:tc>
          <w:tcPr>
            <w:tcW w:w="3970" w:type="dxa"/>
            <w:vAlign w:val="center"/>
          </w:tcPr>
          <w:p w14:paraId="30DC6CD1"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sidRPr="00DF0CFD">
              <w:rPr>
                <w:rFonts w:ascii="Times New Roman" w:eastAsia="Times New Roman" w:hAnsi="Times New Roman" w:cs="Times New Roman"/>
                <w:bCs/>
                <w:color w:val="000000"/>
                <w:sz w:val="20"/>
                <w:szCs w:val="22"/>
                <w:lang w:val="en-GB" w:eastAsia="zh-CN"/>
              </w:rPr>
              <w:t>1</w:t>
            </w:r>
            <w:r>
              <w:rPr>
                <w:rFonts w:ascii="Times New Roman" w:eastAsia="Times New Roman" w:hAnsi="Times New Roman" w:cs="Times New Roman"/>
                <w:bCs/>
                <w:color w:val="000000"/>
                <w:sz w:val="20"/>
                <w:szCs w:val="22"/>
                <w:lang w:val="en-GB" w:eastAsia="zh-CN"/>
              </w:rPr>
              <w:t>2</w:t>
            </w:r>
            <w:r w:rsidRPr="00DF0CFD">
              <w:rPr>
                <w:rFonts w:ascii="Times New Roman" w:eastAsia="Times New Roman" w:hAnsi="Times New Roman" w:cs="Times New Roman"/>
                <w:bCs/>
                <w:color w:val="000000"/>
                <w:sz w:val="20"/>
                <w:szCs w:val="22"/>
                <w:lang w:val="en-GB" w:eastAsia="zh-CN"/>
              </w:rPr>
              <w:t xml:space="preserve">. </w:t>
            </w:r>
            <w:r w:rsidRPr="00352D5B">
              <w:rPr>
                <w:rFonts w:ascii="Times New Roman" w:eastAsia="Times New Roman" w:hAnsi="Times New Roman" w:cs="Times New Roman"/>
                <w:bCs/>
                <w:color w:val="000000"/>
                <w:sz w:val="20"/>
                <w:szCs w:val="22"/>
                <w:lang w:val="en-GB" w:eastAsia="zh-CN"/>
              </w:rPr>
              <w:t>Exit interviews (</w:t>
            </w:r>
            <w:r>
              <w:rPr>
                <w:rFonts w:ascii="Times New Roman" w:eastAsia="Times New Roman" w:hAnsi="Times New Roman" w:cs="Times New Roman"/>
                <w:bCs/>
                <w:color w:val="000000"/>
                <w:sz w:val="20"/>
                <w:szCs w:val="22"/>
                <w:lang w:val="en-GB" w:eastAsia="zh-CN"/>
              </w:rPr>
              <w:t>2</w:t>
            </w:r>
            <w:r w:rsidRPr="00352D5B">
              <w:rPr>
                <w:rFonts w:ascii="Times New Roman" w:eastAsia="Times New Roman" w:hAnsi="Times New Roman" w:cs="Times New Roman"/>
                <w:bCs/>
                <w:color w:val="000000"/>
                <w:sz w:val="20"/>
                <w:szCs w:val="22"/>
                <w:lang w:val="en-GB" w:eastAsia="zh-CN"/>
              </w:rPr>
              <w:t>)</w:t>
            </w:r>
          </w:p>
          <w:p w14:paraId="1347690B"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Reading: Play the Game During the Exit Interview</w:t>
            </w:r>
          </w:p>
          <w:p w14:paraId="359579AD"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New concept: “Stay Interviews”</w:t>
            </w:r>
          </w:p>
          <w:p w14:paraId="22BF2F2B" w14:textId="0D57569E" w:rsidR="00A6374B" w:rsidRPr="00E30AB8" w:rsidRDefault="00E30AB8" w:rsidP="00435CA9">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Case Study</w:t>
            </w:r>
          </w:p>
        </w:tc>
        <w:tc>
          <w:tcPr>
            <w:tcW w:w="3544" w:type="dxa"/>
            <w:vAlign w:val="center"/>
          </w:tcPr>
          <w:p w14:paraId="1CD821F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4A0C6954" w14:textId="77777777" w:rsidR="00A6374B" w:rsidRPr="00797C16" w:rsidRDefault="00A6374B" w:rsidP="00373CCF">
            <w:pPr>
              <w:spacing w:after="0" w:line="240" w:lineRule="auto"/>
              <w:rPr>
                <w:rFonts w:ascii="Cambria" w:hAnsi="Cambria"/>
                <w:sz w:val="20"/>
                <w:szCs w:val="20"/>
              </w:rPr>
            </w:pPr>
          </w:p>
        </w:tc>
      </w:tr>
      <w:tr w:rsidR="00A6374B" w:rsidRPr="00797C16" w14:paraId="6BFBA868" w14:textId="77777777" w:rsidTr="00062FEA">
        <w:trPr>
          <w:trHeight w:val="284"/>
        </w:trPr>
        <w:tc>
          <w:tcPr>
            <w:tcW w:w="3970" w:type="dxa"/>
            <w:vAlign w:val="center"/>
          </w:tcPr>
          <w:p w14:paraId="3EB53838" w14:textId="569C8A98" w:rsidR="00A6374B" w:rsidRPr="00797C16" w:rsidRDefault="00435CA9" w:rsidP="00373CCF">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vAlign w:val="center"/>
          </w:tcPr>
          <w:p w14:paraId="4DC2BA4C" w14:textId="77777777" w:rsidR="00A6374B" w:rsidRDefault="00435CA9" w:rsidP="00373CCF">
            <w:pPr>
              <w:spacing w:after="0" w:line="240" w:lineRule="auto"/>
              <w:rPr>
                <w:rFonts w:ascii="Cambria" w:hAnsi="Cambria"/>
                <w:sz w:val="20"/>
                <w:szCs w:val="20"/>
              </w:rPr>
            </w:pPr>
            <w:r>
              <w:rPr>
                <w:rFonts w:ascii="Cambria" w:hAnsi="Cambria"/>
                <w:sz w:val="20"/>
                <w:szCs w:val="20"/>
              </w:rPr>
              <w:t xml:space="preserve">- </w:t>
            </w:r>
            <w:r w:rsidR="00E56198">
              <w:rPr>
                <w:rFonts w:ascii="Cambria" w:hAnsi="Cambria"/>
                <w:sz w:val="20"/>
                <w:szCs w:val="20"/>
              </w:rPr>
              <w:t>exerciții ghidate</w:t>
            </w:r>
          </w:p>
          <w:p w14:paraId="493AA2C5" w14:textId="0B700F83" w:rsidR="00E56198" w:rsidRPr="00797C16" w:rsidRDefault="00E56198" w:rsidP="00373CCF">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vAlign w:val="center"/>
          </w:tcPr>
          <w:p w14:paraId="69834504" w14:textId="77777777" w:rsidR="00A6374B" w:rsidRPr="00797C16" w:rsidRDefault="00A6374B" w:rsidP="00373CCF">
            <w:pPr>
              <w:spacing w:after="0" w:line="240" w:lineRule="auto"/>
              <w:rPr>
                <w:rFonts w:ascii="Cambria" w:hAnsi="Cambria"/>
                <w:sz w:val="20"/>
                <w:szCs w:val="20"/>
              </w:rPr>
            </w:pPr>
          </w:p>
        </w:tc>
      </w:tr>
      <w:tr w:rsidR="00A6374B" w:rsidRPr="00797C16" w14:paraId="4F68C17E" w14:textId="77777777" w:rsidTr="00062FEA">
        <w:trPr>
          <w:trHeight w:val="284"/>
        </w:trPr>
        <w:tc>
          <w:tcPr>
            <w:tcW w:w="3970" w:type="dxa"/>
            <w:vAlign w:val="center"/>
          </w:tcPr>
          <w:p w14:paraId="2C9AFCC9" w14:textId="3CEF2D63" w:rsidR="00A6374B" w:rsidRPr="00797C16" w:rsidRDefault="00E56198" w:rsidP="00373CCF">
            <w:pPr>
              <w:spacing w:after="0" w:line="240" w:lineRule="auto"/>
              <w:rPr>
                <w:rFonts w:ascii="Cambria" w:hAnsi="Cambria"/>
                <w:sz w:val="20"/>
                <w:szCs w:val="20"/>
              </w:rPr>
            </w:pPr>
            <w:r>
              <w:rPr>
                <w:rFonts w:ascii="Cambria" w:hAnsi="Cambria"/>
                <w:sz w:val="20"/>
                <w:szCs w:val="20"/>
              </w:rPr>
              <w:t>14. Examen Final</w:t>
            </w:r>
          </w:p>
        </w:tc>
        <w:tc>
          <w:tcPr>
            <w:tcW w:w="3544" w:type="dxa"/>
            <w:vAlign w:val="center"/>
          </w:tcPr>
          <w:p w14:paraId="50E07B58" w14:textId="18BEDB91" w:rsidR="00A6374B" w:rsidRPr="00797C16" w:rsidRDefault="00E56198" w:rsidP="00373CCF">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vAlign w:val="center"/>
          </w:tcPr>
          <w:p w14:paraId="4EE8AE04" w14:textId="77777777" w:rsidR="00A6374B" w:rsidRPr="00797C16" w:rsidRDefault="00A6374B" w:rsidP="00373CCF">
            <w:pPr>
              <w:spacing w:after="0" w:line="240" w:lineRule="auto"/>
              <w:rPr>
                <w:rFonts w:ascii="Cambria" w:hAnsi="Cambria"/>
                <w:sz w:val="20"/>
                <w:szCs w:val="20"/>
              </w:rPr>
            </w:pPr>
          </w:p>
        </w:tc>
      </w:tr>
      <w:tr w:rsidR="003F659E" w:rsidRPr="00797C16" w14:paraId="2512011A" w14:textId="77777777" w:rsidTr="00062FEA">
        <w:trPr>
          <w:trHeight w:val="284"/>
        </w:trPr>
        <w:tc>
          <w:tcPr>
            <w:tcW w:w="10491" w:type="dxa"/>
            <w:gridSpan w:val="3"/>
            <w:vAlign w:val="center"/>
          </w:tcPr>
          <w:p w14:paraId="59CE1EB0" w14:textId="77777777" w:rsidR="00E56198" w:rsidRDefault="003F659E" w:rsidP="00373CCF">
            <w:pPr>
              <w:tabs>
                <w:tab w:val="left" w:pos="2715"/>
              </w:tabs>
              <w:spacing w:after="0" w:line="240" w:lineRule="auto"/>
              <w:rPr>
                <w:rFonts w:ascii="Cambria" w:hAnsi="Cambria"/>
                <w:sz w:val="20"/>
                <w:szCs w:val="20"/>
              </w:rPr>
            </w:pPr>
            <w:r w:rsidRPr="00797C16">
              <w:rPr>
                <w:rFonts w:ascii="Cambria" w:hAnsi="Cambria"/>
                <w:sz w:val="20"/>
                <w:szCs w:val="20"/>
              </w:rPr>
              <w:t>Bibliografie</w:t>
            </w:r>
            <w:r w:rsidR="00E56198">
              <w:rPr>
                <w:rFonts w:ascii="Cambria" w:hAnsi="Cambria"/>
                <w:sz w:val="20"/>
                <w:szCs w:val="20"/>
              </w:rPr>
              <w:t>:</w:t>
            </w:r>
          </w:p>
          <w:p w14:paraId="606532B7" w14:textId="77777777" w:rsidR="00E56198" w:rsidRDefault="00E56198" w:rsidP="00373CCF">
            <w:pPr>
              <w:tabs>
                <w:tab w:val="left" w:pos="2715"/>
              </w:tabs>
              <w:spacing w:after="0" w:line="240" w:lineRule="auto"/>
              <w:rPr>
                <w:rFonts w:ascii="Cambria" w:hAnsi="Cambria"/>
                <w:sz w:val="20"/>
                <w:szCs w:val="20"/>
              </w:rPr>
            </w:pPr>
          </w:p>
          <w:p w14:paraId="5EBCA575" w14:textId="6B61FA04" w:rsidR="00E56198" w:rsidRPr="00E56198" w:rsidRDefault="00E56198" w:rsidP="00E56198">
            <w:pPr>
              <w:spacing w:after="0" w:line="240" w:lineRule="auto"/>
              <w:rPr>
                <w:rFonts w:ascii="Times New Roman" w:eastAsia="Times New Roman" w:hAnsi="Times New Roman" w:cs="Times New Roman"/>
                <w:b/>
                <w:kern w:val="0"/>
                <w:sz w:val="20"/>
                <w:szCs w:val="20"/>
                <w:lang w:val="en-US" w:eastAsia="zh-CN"/>
                <w14:ligatures w14:val="none"/>
              </w:rPr>
            </w:pPr>
            <w:r>
              <w:rPr>
                <w:rFonts w:ascii="Times New Roman" w:eastAsia="Times New Roman" w:hAnsi="Times New Roman" w:cs="Times New Roman"/>
                <w:b/>
                <w:kern w:val="0"/>
                <w:sz w:val="20"/>
                <w:szCs w:val="20"/>
                <w:lang w:val="en-US" w:eastAsia="zh-CN"/>
                <w14:ligatures w14:val="none"/>
              </w:rPr>
              <w:t>Cărți</w:t>
            </w:r>
          </w:p>
          <w:p w14:paraId="64E1C473"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en-GB"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Pat Pledger (2007) – English for Human Resources, Oxford Business English, Oxford University Press </w:t>
            </w:r>
          </w:p>
          <w:p w14:paraId="443A67F6" w14:textId="77777777" w:rsidR="00A86EF2" w:rsidRPr="00A86EF2" w:rsidRDefault="00A86EF2" w:rsidP="00A86EF2">
            <w:pPr>
              <w:spacing w:after="0" w:line="240" w:lineRule="auto"/>
              <w:rPr>
                <w:rFonts w:ascii="Times New Roman" w:eastAsia="Times New Roman" w:hAnsi="Times New Roman" w:cs="Times New Roman"/>
                <w:b/>
                <w:kern w:val="0"/>
                <w:sz w:val="20"/>
                <w:szCs w:val="20"/>
                <w:lang w:val="en-GB" w:eastAsia="zh-CN"/>
                <w14:ligatures w14:val="none"/>
              </w:rPr>
            </w:pPr>
            <w:r w:rsidRPr="00A86EF2">
              <w:rPr>
                <w:rFonts w:ascii="Times New Roman" w:eastAsia="Times New Roman" w:hAnsi="Times New Roman" w:cs="Times New Roman"/>
                <w:b/>
                <w:kern w:val="0"/>
                <w:sz w:val="20"/>
                <w:szCs w:val="20"/>
                <w:lang w:val="en-GB" w:eastAsia="zh-CN"/>
                <w14:ligatures w14:val="none"/>
              </w:rPr>
              <w:t>Resurse online</w:t>
            </w:r>
          </w:p>
          <w:p w14:paraId="0FB32FB2"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Gillet, Andy, Using English for Academic Purposes. </w:t>
            </w:r>
            <w:r w:rsidRPr="00A86EF2">
              <w:rPr>
                <w:rFonts w:ascii="Times New Roman" w:eastAsia="Times New Roman" w:hAnsi="Times New Roman" w:cs="Times New Roman"/>
                <w:kern w:val="0"/>
                <w:sz w:val="20"/>
                <w:szCs w:val="20"/>
                <w:lang w:val="sv-SE" w:eastAsia="zh-CN"/>
                <w14:ligatures w14:val="none"/>
              </w:rPr>
              <w:t xml:space="preserve">URL: </w:t>
            </w:r>
            <w:hyperlink r:id="rId8" w:history="1">
              <w:r w:rsidRPr="00A86EF2">
                <w:rPr>
                  <w:rFonts w:ascii="Times New Roman" w:eastAsia="Times New Roman" w:hAnsi="Times New Roman" w:cs="Times New Roman"/>
                  <w:color w:val="0000FF"/>
                  <w:kern w:val="0"/>
                  <w:sz w:val="20"/>
                  <w:szCs w:val="20"/>
                  <w:u w:val="single"/>
                  <w:lang w:val="sv-SE" w:eastAsia="zh-CN"/>
                  <w14:ligatures w14:val="none"/>
                </w:rPr>
                <w:t>http://www.uefap.com/index.htm</w:t>
              </w:r>
            </w:hyperlink>
          </w:p>
          <w:p w14:paraId="683985A5"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Learning English Online at Warwick. </w:t>
            </w:r>
            <w:r w:rsidRPr="00A86EF2">
              <w:rPr>
                <w:rFonts w:ascii="Times New Roman" w:eastAsia="Times New Roman" w:hAnsi="Times New Roman" w:cs="Times New Roman"/>
                <w:kern w:val="0"/>
                <w:sz w:val="20"/>
                <w:szCs w:val="20"/>
                <w:lang w:val="sv-SE" w:eastAsia="zh-CN"/>
                <w14:ligatures w14:val="none"/>
              </w:rPr>
              <w:t xml:space="preserve">URL: </w:t>
            </w:r>
            <w:hyperlink r:id="rId9" w:history="1">
              <w:r w:rsidRPr="00A86EF2">
                <w:rPr>
                  <w:rFonts w:ascii="Times New Roman" w:eastAsia="Times New Roman" w:hAnsi="Times New Roman" w:cs="Times New Roman"/>
                  <w:color w:val="0000FF"/>
                  <w:kern w:val="0"/>
                  <w:sz w:val="20"/>
                  <w:szCs w:val="20"/>
                  <w:u w:val="single"/>
                  <w:lang w:val="sv-SE" w:eastAsia="zh-CN"/>
                  <w14:ligatures w14:val="none"/>
                </w:rPr>
                <w:t>http://www2.warwick.ac.uk/fac/soc/al/learning_english/leap/</w:t>
              </w:r>
            </w:hyperlink>
          </w:p>
          <w:p w14:paraId="01C8FDD0"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Online Tutorials at Leeds University. </w:t>
            </w:r>
            <w:r w:rsidRPr="00A86EF2">
              <w:rPr>
                <w:rFonts w:ascii="Times New Roman" w:eastAsia="Times New Roman" w:hAnsi="Times New Roman" w:cs="Times New Roman"/>
                <w:kern w:val="0"/>
                <w:sz w:val="20"/>
                <w:szCs w:val="20"/>
                <w:lang w:val="sv-SE" w:eastAsia="zh-CN"/>
                <w14:ligatures w14:val="none"/>
              </w:rPr>
              <w:t xml:space="preserve">URL: </w:t>
            </w:r>
            <w:hyperlink r:id="rId10" w:history="1">
              <w:r w:rsidRPr="00A86EF2">
                <w:rPr>
                  <w:rFonts w:ascii="Times New Roman" w:eastAsia="Times New Roman" w:hAnsi="Times New Roman" w:cs="Times New Roman"/>
                  <w:color w:val="0000FF"/>
                  <w:kern w:val="0"/>
                  <w:sz w:val="20"/>
                  <w:szCs w:val="20"/>
                  <w:u w:val="single"/>
                  <w:lang w:val="sv-SE" w:eastAsia="zh-CN"/>
                  <w14:ligatures w14:val="none"/>
                </w:rPr>
                <w:t>http://library.leeds.ac.uk/skills-online-tutorials</w:t>
              </w:r>
            </w:hyperlink>
            <w:r w:rsidRPr="00A86EF2">
              <w:rPr>
                <w:rFonts w:ascii="Times New Roman" w:eastAsia="Times New Roman" w:hAnsi="Times New Roman" w:cs="Times New Roman"/>
                <w:kern w:val="0"/>
                <w:sz w:val="20"/>
                <w:szCs w:val="20"/>
                <w:lang w:val="sv-SE" w:eastAsia="zh-CN"/>
                <w14:ligatures w14:val="none"/>
              </w:rPr>
              <w:t xml:space="preserve"> </w:t>
            </w:r>
          </w:p>
          <w:p w14:paraId="65706CFD" w14:textId="16BDB323" w:rsidR="00E56198" w:rsidRPr="00797C16" w:rsidRDefault="00A86EF2" w:rsidP="00A86EF2">
            <w:pPr>
              <w:tabs>
                <w:tab w:val="left" w:pos="2715"/>
              </w:tabs>
              <w:spacing w:after="0" w:line="240" w:lineRule="auto"/>
              <w:rPr>
                <w:rFonts w:ascii="Cambria" w:hAnsi="Cambria"/>
                <w:sz w:val="20"/>
                <w:szCs w:val="20"/>
              </w:rPr>
            </w:pPr>
            <w:r w:rsidRPr="00A86EF2">
              <w:rPr>
                <w:rFonts w:ascii="Times New Roman" w:eastAsia="Times New Roman" w:hAnsi="Times New Roman" w:cs="Times New Roman"/>
                <w:kern w:val="0"/>
                <w:sz w:val="20"/>
                <w:szCs w:val="20"/>
                <w:lang w:val="en-GB" w:eastAsia="zh-CN"/>
                <w14:ligatures w14:val="none"/>
              </w:rPr>
              <w:t xml:space="preserve">Selected resources for academic writing. </w:t>
            </w:r>
            <w:r w:rsidRPr="00A86EF2">
              <w:rPr>
                <w:rFonts w:ascii="Times New Roman" w:eastAsia="Times New Roman" w:hAnsi="Times New Roman" w:cs="Times New Roman"/>
                <w:kern w:val="0"/>
                <w:sz w:val="20"/>
                <w:szCs w:val="20"/>
                <w:lang w:val="sv-SE" w:eastAsia="zh-CN"/>
                <w14:ligatures w14:val="none"/>
              </w:rPr>
              <w:t xml:space="preserve">URL: </w:t>
            </w:r>
            <w:hyperlink r:id="rId11" w:history="1">
              <w:r w:rsidRPr="00A86EF2">
                <w:rPr>
                  <w:rFonts w:ascii="Times New Roman" w:eastAsia="Times New Roman" w:hAnsi="Times New Roman" w:cs="Times New Roman"/>
                  <w:color w:val="0000FF"/>
                  <w:kern w:val="0"/>
                  <w:sz w:val="20"/>
                  <w:szCs w:val="20"/>
                  <w:u w:val="single"/>
                  <w:lang w:val="sv-SE" w:eastAsia="zh-CN"/>
                  <w14:ligatures w14:val="none"/>
                </w:rPr>
                <w:t>http://englishforacademicpurposes3.wikispaces.com/Resources+for+Learning+Academic+English</w:t>
              </w:r>
            </w:hyperlink>
          </w:p>
        </w:tc>
      </w:tr>
    </w:tbl>
    <w:p w14:paraId="65CC45BE" w14:textId="77777777" w:rsidR="0084063D" w:rsidRPr="00797C16" w:rsidRDefault="0084063D" w:rsidP="00C80A1E">
      <w:pPr>
        <w:spacing w:after="120"/>
        <w:rPr>
          <w:rFonts w:ascii="Cambria" w:hAnsi="Cambria"/>
          <w:sz w:val="20"/>
          <w:szCs w:val="20"/>
        </w:rPr>
      </w:pPr>
    </w:p>
    <w:p w14:paraId="4A5A0AA0" w14:textId="7A6B815C"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Header"/>
              <w:jc w:val="both"/>
              <w:rPr>
                <w:rFonts w:ascii="Times New Roman" w:hAnsi="Times New Roman"/>
                <w:bCs/>
                <w:sz w:val="20"/>
                <w:szCs w:val="20"/>
              </w:rPr>
            </w:pPr>
            <w:r w:rsidRPr="0054261C">
              <w:rPr>
                <w:rFonts w:ascii="Times New Roman" w:hAnsi="Times New Roman"/>
                <w:bCs/>
                <w:sz w:val="20"/>
                <w:szCs w:val="20"/>
              </w:rPr>
              <w:lastRenderedPageBreak/>
              <w:t xml:space="preserve">Politicile lingvistice la nivel global şi european încearcă să răspundă nevoilor crescute ale unei pieţe a muncii şi a cercetării ştiinţifice internaţionalizate, astfel că limbile străine pentru studiu academic şi pentru scopuri specifice sunt reprezentate la nivelul multor centre universitare </w:t>
            </w:r>
          </w:p>
          <w:p w14:paraId="7FA752BE" w14:textId="77777777" w:rsidR="00A6374B" w:rsidRPr="0054261C" w:rsidRDefault="00A6374B" w:rsidP="00A6374B">
            <w:pPr>
              <w:pStyle w:val="Header"/>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ţară (în domeniile vocaţionale cum ar fi afacerile, dreptul, medicina, informatica, turismul dar şi în cursurile ce vizează discursul ştiinţific în diverse domenii – chimie, fizică, ştiinţele educaţiei, socio-umane şi ale comunicării etc). A se vedea departamentele de profil şi centrele de limbi străine din Bucureşti, Timişoara, Iaşi, Tîrgu-Mureş, Alba Iulia, Oradea etc.</w:t>
            </w:r>
          </w:p>
          <w:p w14:paraId="511E2CBF" w14:textId="77777777" w:rsidR="00A6374B" w:rsidRPr="0054261C" w:rsidRDefault="00A6374B" w:rsidP="00A6374B">
            <w:pPr>
              <w:pStyle w:val="Header"/>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străinătate (mai ales pe dimensiunile deprinderilor de studiu academic şi al comunicării socio-profesionale), unde toate universităţile dispun de centre specializate în aspectele practice ale discursului specializat, jucând un rol esenţial în formarea culturii instrucţionale şi academice. De exemplu: universităţile Harvard, Washington, North Carolina, Southampton, Darmouth, Essex, Leeds, Graz, Central European University, etc.</w:t>
            </w:r>
          </w:p>
          <w:p w14:paraId="0DA7809E" w14:textId="77777777" w:rsidR="00A6374B" w:rsidRPr="0054261C" w:rsidRDefault="00A6374B" w:rsidP="00A6374B">
            <w:pPr>
              <w:pStyle w:val="Header"/>
              <w:jc w:val="both"/>
              <w:rPr>
                <w:rFonts w:ascii="Times New Roman" w:hAnsi="Times New Roman"/>
                <w:bCs/>
                <w:sz w:val="20"/>
                <w:szCs w:val="20"/>
              </w:rPr>
            </w:pPr>
            <w:r w:rsidRPr="0054261C">
              <w:rPr>
                <w:rFonts w:ascii="Times New Roman" w:hAnsi="Times New Roman"/>
                <w:bCs/>
                <w:sz w:val="20"/>
                <w:szCs w:val="20"/>
              </w:rPr>
              <w:t>Conţinutul predării dezvoltă  abilităţile şi deprinderile necesare studenţilor pentru specificul muncii de studiu şi cercetare academică în condiţiile internaţionalizării învăţământului universitar</w:t>
            </w:r>
          </w:p>
          <w:p w14:paraId="2B940AFD" w14:textId="6DFDF015" w:rsidR="0084568F" w:rsidRPr="00797C16" w:rsidRDefault="00A6374B" w:rsidP="00A6374B">
            <w:pPr>
              <w:pStyle w:val="ListParagraph"/>
              <w:spacing w:before="120" w:after="0" w:line="240" w:lineRule="auto"/>
              <w:ind w:left="607"/>
              <w:rPr>
                <w:rFonts w:ascii="Cambria" w:hAnsi="Cambria"/>
                <w:sz w:val="20"/>
                <w:szCs w:val="20"/>
              </w:rPr>
            </w:pPr>
            <w:r w:rsidRPr="0054261C">
              <w:rPr>
                <w:rFonts w:ascii="Times New Roman" w:hAnsi="Times New Roman"/>
                <w:bCs/>
                <w:sz w:val="20"/>
                <w:szCs w:val="20"/>
              </w:rPr>
              <w:t>Conţinutul predării acoperă principalele aspecte practice în care se poate presupune că studenţii vor folosi limba engleză în viitoarea lor profesie.</w:t>
            </w:r>
          </w:p>
        </w:tc>
      </w:tr>
    </w:tbl>
    <w:p w14:paraId="7B13E652" w14:textId="77777777" w:rsidR="000B6EB1" w:rsidRDefault="000B6EB1" w:rsidP="00C80A1E">
      <w:pPr>
        <w:spacing w:after="120"/>
        <w:rPr>
          <w:rFonts w:ascii="Cambria" w:hAnsi="Cambria"/>
          <w:sz w:val="20"/>
          <w:szCs w:val="20"/>
        </w:rPr>
      </w:pPr>
    </w:p>
    <w:p w14:paraId="7E8D0853" w14:textId="77777777" w:rsidR="00E30AB8" w:rsidRDefault="00E30AB8" w:rsidP="00357598">
      <w:pPr>
        <w:spacing w:after="0"/>
        <w:ind w:hanging="425"/>
        <w:rPr>
          <w:rFonts w:ascii="Cambria" w:hAnsi="Cambria"/>
          <w:b/>
          <w:sz w:val="20"/>
          <w:szCs w:val="20"/>
        </w:rPr>
      </w:pPr>
    </w:p>
    <w:p w14:paraId="20194EDF" w14:textId="6AA2B1D4" w:rsidR="000B6EB1" w:rsidRPr="00797C16" w:rsidRDefault="0084568F" w:rsidP="00357598">
      <w:pPr>
        <w:spacing w:after="0"/>
        <w:ind w:hanging="425"/>
        <w:rPr>
          <w:rFonts w:ascii="Cambria" w:hAnsi="Cambria"/>
          <w:sz w:val="20"/>
          <w:szCs w:val="20"/>
        </w:rPr>
      </w:pPr>
      <w:r w:rsidRPr="00797C16">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prezenţa şi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îndeplinirea corectă şi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însuşirea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corectitudinea, fluenţa şi adecvarea la cerinţă a limbii engleze (oral şi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capacitatea de a utiliza eficient limba engleză în contexte academice şi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722AA8" w14:textId="04FE675F" w:rsidR="004C0413" w:rsidRPr="00E05CFC" w:rsidRDefault="00E05CFC" w:rsidP="00E05CFC">
            <w:pPr>
              <w:spacing w:after="0" w:line="240" w:lineRule="auto"/>
              <w:rPr>
                <w:rFonts w:ascii="Cambria" w:hAnsi="Cambria"/>
                <w:sz w:val="20"/>
                <w:szCs w:val="20"/>
              </w:rPr>
            </w:pPr>
            <w:r>
              <w:rPr>
                <w:rFonts w:ascii="Cambria" w:hAnsi="Cambria"/>
                <w:sz w:val="20"/>
                <w:szCs w:val="20"/>
              </w:rPr>
              <w:t>Test competenta lignvistica</w:t>
            </w:r>
          </w:p>
        </w:tc>
        <w:tc>
          <w:tcPr>
            <w:tcW w:w="2694" w:type="dxa"/>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08E67D1B" w:rsidR="00357598" w:rsidRDefault="00357598" w:rsidP="00373CCF">
            <w:pPr>
              <w:spacing w:after="0" w:line="240" w:lineRule="auto"/>
              <w:rPr>
                <w:rFonts w:ascii="Cambria" w:hAnsi="Cambria"/>
                <w:sz w:val="20"/>
                <w:szCs w:val="20"/>
              </w:rPr>
            </w:pP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780124A5" w14:textId="56161235" w:rsidR="004C0413" w:rsidRDefault="004C0413" w:rsidP="00373CCF">
            <w:pPr>
              <w:spacing w:after="0" w:line="240" w:lineRule="auto"/>
              <w:rPr>
                <w:rFonts w:ascii="Cambria" w:hAnsi="Cambria"/>
                <w:sz w:val="20"/>
                <w:szCs w:val="20"/>
              </w:rPr>
            </w:pPr>
          </w:p>
          <w:p w14:paraId="7B3E7165"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5D384D67" w14:textId="37D0686B" w:rsidR="004C0413" w:rsidRDefault="00E05CFC" w:rsidP="00373CCF">
            <w:pPr>
              <w:spacing w:after="0" w:line="240" w:lineRule="auto"/>
              <w:rPr>
                <w:rFonts w:ascii="Cambria" w:hAnsi="Cambria"/>
                <w:sz w:val="20"/>
                <w:szCs w:val="20"/>
              </w:rPr>
            </w:pPr>
            <w:r>
              <w:rPr>
                <w:rFonts w:ascii="Cambria" w:hAnsi="Cambria"/>
                <w:sz w:val="20"/>
                <w:szCs w:val="20"/>
              </w:rPr>
              <w:t>30%</w:t>
            </w: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77777777" w:rsidR="004C0413" w:rsidRDefault="004C0413" w:rsidP="00373CCF">
            <w:pPr>
              <w:spacing w:after="0" w:line="240" w:lineRule="auto"/>
              <w:rPr>
                <w:rFonts w:ascii="Cambria" w:hAnsi="Cambria"/>
                <w:sz w:val="20"/>
                <w:szCs w:val="20"/>
              </w:rPr>
            </w:pPr>
          </w:p>
          <w:p w14:paraId="510DD082" w14:textId="6C782129" w:rsidR="004C0413" w:rsidRDefault="00E05CFC" w:rsidP="00373CCF">
            <w:pPr>
              <w:spacing w:after="0" w:line="240" w:lineRule="auto"/>
              <w:rPr>
                <w:rFonts w:ascii="Cambria" w:hAnsi="Cambria"/>
                <w:sz w:val="20"/>
                <w:szCs w:val="20"/>
              </w:rPr>
            </w:pPr>
            <w:r>
              <w:rPr>
                <w:rFonts w:ascii="Cambria" w:hAnsi="Cambria"/>
                <w:sz w:val="20"/>
                <w:szCs w:val="20"/>
              </w:rPr>
              <w:t>70%</w:t>
            </w: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lastRenderedPageBreak/>
              <w:t xml:space="preserve"> </w:t>
            </w:r>
            <w:r w:rsidR="00B61A64" w:rsidRPr="00B61A64">
              <w:rPr>
                <w:rFonts w:ascii="Times New Roman" w:eastAsia="Times New Roman" w:hAnsi="Times New Roman" w:cs="Times New Roman"/>
                <w:kern w:val="0"/>
                <w:sz w:val="20"/>
                <w:szCs w:val="20"/>
                <w:lang w:eastAsia="zh-CN"/>
                <w14:ligatures w14:val="none"/>
              </w:rPr>
              <w:t xml:space="preserve">Studenţii vor şti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ascultare, vorbire, citire şi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învăţare individuală pentru dezvoltarea competenţelor de lectură a textelor academice și de îmbogăţire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comunice în mediul academic prin intermediul proiectelor individuale şi de grup.</w:t>
            </w:r>
          </w:p>
          <w:p w14:paraId="6766C520" w14:textId="77777777" w:rsidR="00357598" w:rsidRPr="00797C16" w:rsidRDefault="00357598" w:rsidP="00373CCF">
            <w:pPr>
              <w:spacing w:after="0" w:line="240" w:lineRule="auto"/>
              <w:rPr>
                <w:rFonts w:ascii="Cambria" w:hAnsi="Cambria"/>
                <w:sz w:val="20"/>
                <w:szCs w:val="20"/>
              </w:rPr>
            </w:pPr>
          </w:p>
        </w:tc>
      </w:tr>
    </w:tbl>
    <w:p w14:paraId="348AF2F4" w14:textId="77777777" w:rsidR="00A86EF2" w:rsidRDefault="00A86EF2" w:rsidP="006A3DD3">
      <w:pPr>
        <w:spacing w:after="0"/>
        <w:ind w:hanging="425"/>
        <w:rPr>
          <w:rFonts w:ascii="Cambria" w:hAnsi="Cambria"/>
          <w:sz w:val="20"/>
          <w:szCs w:val="20"/>
        </w:rPr>
      </w:pPr>
    </w:p>
    <w:p w14:paraId="3673DA24" w14:textId="77777777" w:rsidR="00A86EF2" w:rsidRDefault="00A86EF2" w:rsidP="006A3DD3">
      <w:pPr>
        <w:spacing w:after="0"/>
        <w:ind w:hanging="425"/>
        <w:rPr>
          <w:rFonts w:ascii="Cambria" w:hAnsi="Cambria"/>
          <w:sz w:val="20"/>
          <w:szCs w:val="20"/>
        </w:rPr>
      </w:pPr>
    </w:p>
    <w:p w14:paraId="4A64766E" w14:textId="77777777" w:rsidR="00DF225B" w:rsidRDefault="00DF225B" w:rsidP="006A3DD3">
      <w:pPr>
        <w:spacing w:after="0"/>
        <w:ind w:hanging="425"/>
        <w:rPr>
          <w:rFonts w:ascii="Cambria" w:hAnsi="Cambria"/>
          <w:sz w:val="20"/>
          <w:szCs w:val="20"/>
        </w:rPr>
      </w:pPr>
    </w:p>
    <w:p w14:paraId="120FBA06" w14:textId="77777777" w:rsidR="00A86EF2" w:rsidRDefault="00A86EF2" w:rsidP="006A3DD3">
      <w:pPr>
        <w:spacing w:after="0"/>
        <w:ind w:hanging="425"/>
        <w:rPr>
          <w:rFonts w:ascii="Cambria" w:hAnsi="Cambria"/>
          <w:sz w:val="20"/>
          <w:szCs w:val="20"/>
        </w:rPr>
      </w:pPr>
    </w:p>
    <w:p w14:paraId="06A8247D" w14:textId="77777777" w:rsidR="00A86EF2" w:rsidRDefault="00A86EF2" w:rsidP="006A3DD3">
      <w:pPr>
        <w:spacing w:after="0"/>
        <w:ind w:hanging="425"/>
        <w:rPr>
          <w:rFonts w:ascii="Cambria" w:hAnsi="Cambria"/>
          <w:sz w:val="20"/>
          <w:szCs w:val="20"/>
        </w:rPr>
      </w:pPr>
    </w:p>
    <w:p w14:paraId="0D47838B" w14:textId="00603A45" w:rsidR="006A3DD3" w:rsidRPr="00797C16" w:rsidRDefault="006A3DD3" w:rsidP="006A3DD3">
      <w:pPr>
        <w:spacing w:after="0"/>
        <w:ind w:hanging="425"/>
        <w:rPr>
          <w:rFonts w:ascii="Cambria" w:hAnsi="Cambria"/>
          <w:sz w:val="20"/>
          <w:szCs w:val="20"/>
        </w:rPr>
      </w:pPr>
      <w:r w:rsidRPr="00797C16">
        <w:rPr>
          <w:rFonts w:ascii="Cambria" w:hAnsi="Cambria"/>
          <w:b/>
          <w:sz w:val="20"/>
          <w:szCs w:val="20"/>
        </w:rPr>
        <w:t xml:space="preserve">11. </w:t>
      </w:r>
      <w:r w:rsidR="00DC236E" w:rsidRPr="00797C16">
        <w:rPr>
          <w:rFonts w:ascii="Cambria" w:hAnsi="Cambria"/>
          <w:b/>
          <w:sz w:val="20"/>
          <w:szCs w:val="20"/>
        </w:rPr>
        <w:t>Etichete ODD (Obiective de Dezvoltare Durabilă / Sustainable Development Goals)</w:t>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7518D076">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2E1FF4DA" w:rsidR="004C0413" w:rsidRPr="00797C16" w:rsidRDefault="004C0413" w:rsidP="008F6B79">
            <w:pPr>
              <w:spacing w:line="480" w:lineRule="auto"/>
              <w:jc w:val="center"/>
            </w:pP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3C914FA5" w:rsidR="008F6B79" w:rsidRPr="00797C16" w:rsidRDefault="008F6B79" w:rsidP="008F6B79">
            <w:pPr>
              <w:jc w:val="center"/>
            </w:pPr>
          </w:p>
        </w:tc>
      </w:tr>
      <w:tr w:rsidR="006B6ABF" w:rsidRPr="00797C16" w14:paraId="2607C991" w14:textId="77777777" w:rsidTr="7518D076">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7518D076">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t>Camelia Teglas</w:t>
            </w:r>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5E0C" w14:textId="77777777" w:rsidR="00420739" w:rsidRDefault="00420739" w:rsidP="00D12BC3">
      <w:pPr>
        <w:spacing w:after="0" w:line="240" w:lineRule="auto"/>
      </w:pPr>
      <w:r>
        <w:separator/>
      </w:r>
    </w:p>
  </w:endnote>
  <w:endnote w:type="continuationSeparator" w:id="0">
    <w:p w14:paraId="0580FDDC" w14:textId="77777777" w:rsidR="00420739" w:rsidRDefault="0042073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Footer"/>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3FD6" w14:textId="77777777" w:rsidR="00420739" w:rsidRDefault="00420739" w:rsidP="00D12BC3">
      <w:pPr>
        <w:spacing w:after="0" w:line="240" w:lineRule="auto"/>
      </w:pPr>
      <w:r>
        <w:separator/>
      </w:r>
    </w:p>
  </w:footnote>
  <w:footnote w:type="continuationSeparator" w:id="0">
    <w:p w14:paraId="794EEF53" w14:textId="77777777" w:rsidR="00420739" w:rsidRDefault="00420739"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Header"/>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94996"/>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7E2D"/>
    <w:rsid w:val="00201EE0"/>
    <w:rsid w:val="00221B6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4438D"/>
    <w:rsid w:val="00351944"/>
    <w:rsid w:val="00352C42"/>
    <w:rsid w:val="0035421D"/>
    <w:rsid w:val="00357598"/>
    <w:rsid w:val="00364EE4"/>
    <w:rsid w:val="00366881"/>
    <w:rsid w:val="00370DF5"/>
    <w:rsid w:val="0039378F"/>
    <w:rsid w:val="003B6EE4"/>
    <w:rsid w:val="003C197C"/>
    <w:rsid w:val="003C47C3"/>
    <w:rsid w:val="003D7F8A"/>
    <w:rsid w:val="003F481E"/>
    <w:rsid w:val="003F659E"/>
    <w:rsid w:val="00405204"/>
    <w:rsid w:val="0041747E"/>
    <w:rsid w:val="00420739"/>
    <w:rsid w:val="0042330E"/>
    <w:rsid w:val="00435CA9"/>
    <w:rsid w:val="00443956"/>
    <w:rsid w:val="00453436"/>
    <w:rsid w:val="004613CA"/>
    <w:rsid w:val="004675C5"/>
    <w:rsid w:val="0049556F"/>
    <w:rsid w:val="004B4ACA"/>
    <w:rsid w:val="004C0413"/>
    <w:rsid w:val="004D2236"/>
    <w:rsid w:val="004E11FF"/>
    <w:rsid w:val="004E2C1F"/>
    <w:rsid w:val="004E578B"/>
    <w:rsid w:val="004F45E5"/>
    <w:rsid w:val="004F4B37"/>
    <w:rsid w:val="0050720F"/>
    <w:rsid w:val="00551CC4"/>
    <w:rsid w:val="00586682"/>
    <w:rsid w:val="005B2BEB"/>
    <w:rsid w:val="005B66A9"/>
    <w:rsid w:val="005D5EF4"/>
    <w:rsid w:val="005E100B"/>
    <w:rsid w:val="005E1610"/>
    <w:rsid w:val="005F30A6"/>
    <w:rsid w:val="006016CF"/>
    <w:rsid w:val="00623F9F"/>
    <w:rsid w:val="00632190"/>
    <w:rsid w:val="00687EE7"/>
    <w:rsid w:val="0069043C"/>
    <w:rsid w:val="00694E26"/>
    <w:rsid w:val="006A3DD3"/>
    <w:rsid w:val="006B2EAE"/>
    <w:rsid w:val="006B6ABF"/>
    <w:rsid w:val="006D648A"/>
    <w:rsid w:val="006E276B"/>
    <w:rsid w:val="006F32EA"/>
    <w:rsid w:val="00704071"/>
    <w:rsid w:val="00706E3A"/>
    <w:rsid w:val="007100A1"/>
    <w:rsid w:val="007342EF"/>
    <w:rsid w:val="0074223A"/>
    <w:rsid w:val="007526F3"/>
    <w:rsid w:val="00754827"/>
    <w:rsid w:val="007566DE"/>
    <w:rsid w:val="007965C1"/>
    <w:rsid w:val="00797C16"/>
    <w:rsid w:val="007A36AD"/>
    <w:rsid w:val="007A519F"/>
    <w:rsid w:val="007D0416"/>
    <w:rsid w:val="007D6BE3"/>
    <w:rsid w:val="008119F8"/>
    <w:rsid w:val="00820A4F"/>
    <w:rsid w:val="00827CA3"/>
    <w:rsid w:val="0083358D"/>
    <w:rsid w:val="0084063D"/>
    <w:rsid w:val="00844EAD"/>
    <w:rsid w:val="0084568F"/>
    <w:rsid w:val="00847940"/>
    <w:rsid w:val="00851DB9"/>
    <w:rsid w:val="00863872"/>
    <w:rsid w:val="008663BC"/>
    <w:rsid w:val="00885BDD"/>
    <w:rsid w:val="00886616"/>
    <w:rsid w:val="008907B7"/>
    <w:rsid w:val="00896E10"/>
    <w:rsid w:val="008A7007"/>
    <w:rsid w:val="008B15F8"/>
    <w:rsid w:val="008C1F7C"/>
    <w:rsid w:val="008C28C6"/>
    <w:rsid w:val="008C6A8A"/>
    <w:rsid w:val="008D3314"/>
    <w:rsid w:val="008E6D88"/>
    <w:rsid w:val="008F5E28"/>
    <w:rsid w:val="008F6B79"/>
    <w:rsid w:val="00936988"/>
    <w:rsid w:val="009401B8"/>
    <w:rsid w:val="00944A03"/>
    <w:rsid w:val="009508B1"/>
    <w:rsid w:val="00996BA6"/>
    <w:rsid w:val="00996E5F"/>
    <w:rsid w:val="009E39AB"/>
    <w:rsid w:val="009F6D96"/>
    <w:rsid w:val="00A16ECB"/>
    <w:rsid w:val="00A2132C"/>
    <w:rsid w:val="00A23554"/>
    <w:rsid w:val="00A23D3E"/>
    <w:rsid w:val="00A24211"/>
    <w:rsid w:val="00A4215F"/>
    <w:rsid w:val="00A436C8"/>
    <w:rsid w:val="00A6374B"/>
    <w:rsid w:val="00A74D64"/>
    <w:rsid w:val="00A82450"/>
    <w:rsid w:val="00A86EF2"/>
    <w:rsid w:val="00A953B7"/>
    <w:rsid w:val="00AB0DE7"/>
    <w:rsid w:val="00B04B9C"/>
    <w:rsid w:val="00B417DB"/>
    <w:rsid w:val="00B61A64"/>
    <w:rsid w:val="00BC7CDE"/>
    <w:rsid w:val="00BD3CB2"/>
    <w:rsid w:val="00BF17DD"/>
    <w:rsid w:val="00BF2C1C"/>
    <w:rsid w:val="00BF4F61"/>
    <w:rsid w:val="00C02345"/>
    <w:rsid w:val="00C163AF"/>
    <w:rsid w:val="00C20E33"/>
    <w:rsid w:val="00C3571C"/>
    <w:rsid w:val="00C65E50"/>
    <w:rsid w:val="00C76710"/>
    <w:rsid w:val="00C80A1E"/>
    <w:rsid w:val="00C80D9C"/>
    <w:rsid w:val="00C9513E"/>
    <w:rsid w:val="00CA412A"/>
    <w:rsid w:val="00CB66F3"/>
    <w:rsid w:val="00CC781A"/>
    <w:rsid w:val="00CE2BF2"/>
    <w:rsid w:val="00CF66F3"/>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DF225B"/>
    <w:rsid w:val="00E027F6"/>
    <w:rsid w:val="00E03DC8"/>
    <w:rsid w:val="00E05CFC"/>
    <w:rsid w:val="00E27C90"/>
    <w:rsid w:val="00E30AB8"/>
    <w:rsid w:val="00E463DB"/>
    <w:rsid w:val="00E56198"/>
    <w:rsid w:val="00E56D7A"/>
    <w:rsid w:val="00EB52C4"/>
    <w:rsid w:val="00EF1903"/>
    <w:rsid w:val="00F01F2B"/>
    <w:rsid w:val="00F52A38"/>
    <w:rsid w:val="00F65EFF"/>
    <w:rsid w:val="00F708DA"/>
    <w:rsid w:val="00F76D8F"/>
    <w:rsid w:val="00F81966"/>
    <w:rsid w:val="00F85E5C"/>
    <w:rsid w:val="00F974CE"/>
    <w:rsid w:val="00FA3D17"/>
    <w:rsid w:val="00FA7471"/>
    <w:rsid w:val="00FB5485"/>
    <w:rsid w:val="00FB7D70"/>
    <w:rsid w:val="00FC204E"/>
    <w:rsid w:val="00FD3B76"/>
    <w:rsid w:val="7518D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customStyle="1" w:styleId="UnresolvedMention1">
    <w:name w:val="Unresolved Mention1"/>
    <w:basedOn w:val="DefaultParagraphFont"/>
    <w:uiPriority w:val="99"/>
    <w:semiHidden/>
    <w:unhideWhenUsed/>
    <w:rsid w:val="00996BA6"/>
    <w:rPr>
      <w:color w:val="605E5C"/>
      <w:shd w:val="clear" w:color="auto" w:fill="E1DFDD"/>
    </w:rPr>
  </w:style>
  <w:style w:type="paragraph" w:styleId="BalloonText">
    <w:name w:val="Balloon Text"/>
    <w:basedOn w:val="Normal"/>
    <w:link w:val="BalloonTextChar"/>
    <w:uiPriority w:val="99"/>
    <w:semiHidden/>
    <w:unhideWhenUsed/>
    <w:rsid w:val="007A3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AD"/>
    <w:rPr>
      <w:rFonts w:ascii="Segoe UI" w:hAnsi="Segoe UI" w:cs="Segoe UI"/>
      <w:sz w:val="18"/>
      <w:szCs w:val="18"/>
      <w:lang w:val="ro-RO"/>
    </w:rPr>
  </w:style>
  <w:style w:type="paragraph" w:styleId="Header">
    <w:name w:val="header"/>
    <w:basedOn w:val="Normal"/>
    <w:link w:val="HeaderChar"/>
    <w:unhideWhenUsed/>
    <w:rsid w:val="008A7007"/>
    <w:pPr>
      <w:tabs>
        <w:tab w:val="center" w:pos="4680"/>
        <w:tab w:val="right" w:pos="9360"/>
      </w:tabs>
      <w:spacing w:after="0" w:line="240" w:lineRule="auto"/>
    </w:pPr>
  </w:style>
  <w:style w:type="character" w:customStyle="1" w:styleId="HeaderChar">
    <w:name w:val="Header Char"/>
    <w:basedOn w:val="DefaultParagraphFont"/>
    <w:link w:val="Header"/>
    <w:rsid w:val="008A7007"/>
    <w:rPr>
      <w:lang w:val="ro-RO"/>
    </w:rPr>
  </w:style>
  <w:style w:type="paragraph" w:styleId="Footer">
    <w:name w:val="footer"/>
    <w:basedOn w:val="Normal"/>
    <w:link w:val="FooterChar"/>
    <w:uiPriority w:val="99"/>
    <w:unhideWhenUsed/>
    <w:rsid w:val="008A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foracademicpurposes3.wikispaces.com/Resources+for+Learning+Academic+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brary.leeds.ac.uk/skills-online-tutori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15587</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12</cp:revision>
  <cp:lastPrinted>2024-12-17T12:42:00Z</cp:lastPrinted>
  <dcterms:created xsi:type="dcterms:W3CDTF">2025-01-20T18:50:00Z</dcterms:created>
  <dcterms:modified xsi:type="dcterms:W3CDTF">2026-06-02T20:07:00Z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ff2a7973-ae86-4886-93b3-9dd3161affbe</vt:lpwstr>
  </property>
</Properties>
</file>